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06876" w14:textId="77777777" w:rsidR="00052185" w:rsidRPr="00FD5808" w:rsidRDefault="00052185" w:rsidP="00FD5808">
      <w:r w:rsidRPr="00FD5808">
        <w:rPr>
          <w:rStyle w:val="Strong"/>
          <w:rFonts w:ascii="Times New Roman" w:hAnsi="Times New Roman" w:cs="Times New Roman"/>
          <w:color w:val="0E101A"/>
          <w:sz w:val="32"/>
          <w:szCs w:val="32"/>
        </w:rPr>
        <w:t>A Review of COVID-19 Vaccine Adverse Event Following Immunization Case Reports by four CARICOM Countries to VigiBase</w:t>
      </w:r>
    </w:p>
    <w:p w14:paraId="1E57A71D" w14:textId="61A374C4" w:rsidR="00790568" w:rsidRPr="00FD5808" w:rsidRDefault="00052185" w:rsidP="00732DED">
      <w:pPr>
        <w:spacing w:after="0" w:line="240" w:lineRule="auto"/>
        <w:rPr>
          <w:rFonts w:ascii="Times New Roman" w:hAnsi="Times New Roman" w:cs="Times New Roman"/>
          <w:bCs/>
          <w:sz w:val="24"/>
          <w:szCs w:val="24"/>
        </w:rPr>
      </w:pPr>
      <w:r w:rsidRPr="00FD5808">
        <w:rPr>
          <w:rFonts w:ascii="Times New Roman" w:hAnsi="Times New Roman" w:cs="Times New Roman"/>
          <w:sz w:val="24"/>
          <w:szCs w:val="24"/>
        </w:rPr>
        <w:t>Danini Yajaira Marin</w:t>
      </w:r>
      <w:r w:rsidRPr="00FD5808">
        <w:rPr>
          <w:rStyle w:val="FootnoteReference"/>
          <w:rFonts w:ascii="Times New Roman" w:hAnsi="Times New Roman" w:cs="Times New Roman"/>
          <w:bCs/>
          <w:sz w:val="24"/>
          <w:szCs w:val="24"/>
        </w:rPr>
        <w:t xml:space="preserve"> </w:t>
      </w:r>
      <w:r w:rsidRPr="00FD5808">
        <w:rPr>
          <w:rFonts w:ascii="Times New Roman" w:hAnsi="Times New Roman" w:cs="Times New Roman"/>
          <w:bCs/>
          <w:sz w:val="24"/>
          <w:szCs w:val="24"/>
          <w:vertAlign w:val="superscript"/>
        </w:rPr>
        <w:t>a,</w:t>
      </w:r>
      <w:r w:rsidR="00782471" w:rsidRPr="00FD5808">
        <w:rPr>
          <w:rStyle w:val="FootnoteReference"/>
          <w:rFonts w:ascii="Times New Roman" w:hAnsi="Times New Roman" w:cs="Times New Roman"/>
          <w:bCs/>
          <w:sz w:val="24"/>
          <w:szCs w:val="24"/>
        </w:rPr>
        <w:footnoteReference w:id="2"/>
      </w:r>
      <w:r w:rsidR="00E61BD5" w:rsidRPr="00FD5808">
        <w:rPr>
          <w:rFonts w:ascii="Times New Roman" w:hAnsi="Times New Roman" w:cs="Times New Roman"/>
          <w:bCs/>
          <w:sz w:val="24"/>
          <w:szCs w:val="24"/>
          <w:vertAlign w:val="superscript"/>
        </w:rPr>
        <w:t xml:space="preserve"> </w:t>
      </w:r>
      <w:r w:rsidR="00006FD6" w:rsidRPr="00FD5808">
        <w:rPr>
          <w:rFonts w:ascii="Times New Roman" w:hAnsi="Times New Roman" w:cs="Times New Roman"/>
          <w:bCs/>
          <w:sz w:val="24"/>
          <w:szCs w:val="24"/>
          <w:vertAlign w:val="superscript"/>
        </w:rPr>
        <w:br/>
      </w:r>
    </w:p>
    <w:p w14:paraId="1E679E1B" w14:textId="41825266" w:rsidR="00C533D7" w:rsidRPr="00FD5808" w:rsidRDefault="00C533D7" w:rsidP="00C533D7">
      <w:pPr>
        <w:spacing w:after="0" w:line="240" w:lineRule="auto"/>
        <w:rPr>
          <w:rFonts w:ascii="Times New Roman" w:hAnsi="Times New Roman" w:cs="Times New Roman"/>
          <w:bCs/>
          <w:sz w:val="24"/>
          <w:szCs w:val="24"/>
        </w:rPr>
      </w:pPr>
      <w:r w:rsidRPr="00FD5808">
        <w:rPr>
          <w:rFonts w:ascii="Times New Roman" w:hAnsi="Times New Roman" w:cs="Times New Roman"/>
          <w:bCs/>
          <w:sz w:val="24"/>
          <w:szCs w:val="24"/>
          <w:vertAlign w:val="superscript"/>
        </w:rPr>
        <w:t xml:space="preserve">a </w:t>
      </w:r>
      <w:r w:rsidRPr="00FD5808">
        <w:rPr>
          <w:rFonts w:ascii="Times New Roman" w:hAnsi="Times New Roman" w:cs="Times New Roman"/>
          <w:sz w:val="24"/>
          <w:szCs w:val="24"/>
        </w:rPr>
        <w:t xml:space="preserve">GEM Consulting, </w:t>
      </w:r>
      <w:r w:rsidR="00052185" w:rsidRPr="00FD5808">
        <w:rPr>
          <w:rFonts w:ascii="Times New Roman" w:hAnsi="Times New Roman" w:cs="Times New Roman"/>
          <w:sz w:val="24"/>
          <w:szCs w:val="24"/>
        </w:rPr>
        <w:t>Belize</w:t>
      </w:r>
    </w:p>
    <w:p w14:paraId="4E3866F3" w14:textId="4AFE2679" w:rsidR="00B422D9" w:rsidRPr="00FD5808" w:rsidRDefault="000B1D9C" w:rsidP="00732DED">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pict w14:anchorId="6149102B">
          <v:rect id="_x0000_i1025" alt="" style="width:451.3pt;height:.05pt;mso-width-percent:0;mso-height-percent:0;mso-width-percent:0;mso-height-percent:0" o:hralign="center" o:hrstd="t" o:hr="t" fillcolor="#a0a0a0" stroked="f"/>
        </w:pict>
      </w:r>
    </w:p>
    <w:p w14:paraId="633EB812" w14:textId="689DDC0B" w:rsidR="00B422D9" w:rsidRPr="00FD5808" w:rsidRDefault="00B422D9" w:rsidP="00732DED">
      <w:pPr>
        <w:spacing w:after="0" w:line="240" w:lineRule="auto"/>
        <w:rPr>
          <w:rFonts w:ascii="Times New Roman" w:hAnsi="Times New Roman" w:cs="Times New Roman"/>
          <w:b/>
          <w:sz w:val="24"/>
          <w:szCs w:val="24"/>
        </w:rPr>
      </w:pPr>
      <w:r w:rsidRPr="00FD5808">
        <w:rPr>
          <w:rFonts w:ascii="Times New Roman" w:hAnsi="Times New Roman" w:cs="Times New Roman"/>
          <w:b/>
          <w:sz w:val="24"/>
          <w:szCs w:val="24"/>
        </w:rPr>
        <w:t>ABSTRACT</w:t>
      </w:r>
      <w:r w:rsidR="00E9640D" w:rsidRPr="00FD5808">
        <w:rPr>
          <w:rFonts w:ascii="Times New Roman" w:hAnsi="Times New Roman" w:cs="Times New Roman"/>
          <w:b/>
          <w:sz w:val="24"/>
          <w:szCs w:val="24"/>
        </w:rPr>
        <w:br/>
      </w:r>
    </w:p>
    <w:p w14:paraId="2F24AE3E" w14:textId="187619DD" w:rsidR="00402846" w:rsidRPr="00FD5808" w:rsidRDefault="00F47C62" w:rsidP="00402846">
      <w:pPr>
        <w:pStyle w:val="NoSpacing"/>
        <w:jc w:val="both"/>
        <w:rPr>
          <w:rFonts w:cs="Times New Roman"/>
          <w:szCs w:val="24"/>
          <w:lang w:val="en-GB"/>
        </w:rPr>
      </w:pPr>
      <w:r w:rsidRPr="00FD5808">
        <w:rPr>
          <w:rFonts w:cs="Times New Roman"/>
          <w:szCs w:val="24"/>
          <w:lang w:val="en-GB"/>
        </w:rPr>
        <w:t xml:space="preserve">The World Health Organization declared COVID-19 </w:t>
      </w:r>
      <w:r w:rsidR="00774612">
        <w:rPr>
          <w:rFonts w:cs="Times New Roman"/>
          <w:szCs w:val="24"/>
          <w:lang w:val="en-GB"/>
        </w:rPr>
        <w:t xml:space="preserve">a pandemic </w:t>
      </w:r>
      <w:r w:rsidRPr="00FD5808">
        <w:rPr>
          <w:rFonts w:cs="Times New Roman"/>
          <w:szCs w:val="24"/>
          <w:lang w:val="en-GB"/>
        </w:rPr>
        <w:t>on 12 March 2020</w:t>
      </w:r>
      <w:r w:rsidR="00402846" w:rsidRPr="00FD5808">
        <w:rPr>
          <w:rFonts w:cs="Times New Roman"/>
          <w:szCs w:val="24"/>
          <w:lang w:val="en-GB"/>
        </w:rPr>
        <w:t>. One of the strategies to combat the pandemic was the development of novel COVID-19 vaccines. Once these vaccines were deployed, immunizations followed. The objective of this study was to identify the characteristics of case reports of adverse events following immunization (AEFIs) with COVID-19 vaccines based on Individual Case Safety Reports (ICSRs) in VigiBase, submitted by four CARICOM countries: Barbados, Haiti, Jamaica and St. Vincent and the Grenadines. A review of the publicly available data on AEFIs with COVID-19 vaccines based on ICSRs in VigiBase was conducted from March</w:t>
      </w:r>
      <w:r w:rsidR="00774612">
        <w:rPr>
          <w:rFonts w:cs="Times New Roman"/>
          <w:szCs w:val="24"/>
          <w:lang w:val="en-GB"/>
        </w:rPr>
        <w:t xml:space="preserve"> 1,</w:t>
      </w:r>
      <w:r w:rsidR="00402846" w:rsidRPr="00FD5808">
        <w:rPr>
          <w:rFonts w:cs="Times New Roman"/>
          <w:szCs w:val="24"/>
          <w:lang w:val="en-GB"/>
        </w:rPr>
        <w:t xml:space="preserve"> 2021 to December</w:t>
      </w:r>
      <w:r w:rsidR="00774612">
        <w:rPr>
          <w:rFonts w:cs="Times New Roman"/>
          <w:szCs w:val="24"/>
          <w:lang w:val="en-GB"/>
        </w:rPr>
        <w:t xml:space="preserve"> 14,</w:t>
      </w:r>
      <w:r w:rsidR="00402846" w:rsidRPr="00FD5808">
        <w:rPr>
          <w:rFonts w:cs="Times New Roman"/>
          <w:szCs w:val="24"/>
          <w:lang w:val="en-GB"/>
        </w:rPr>
        <w:t xml:space="preserve"> 2022. A total of 1,582 AEFI case reports were identified for this period. Most of these were non-serious events, involving persons under 65 years (84.9%), and females (74.1%); 19% were classified as serious events. The top age group reported for AEFIs in VigiBase were 18-44 years (46.6%). The most frequently reported reactions were headache (29.3%), pyrexia (19.3%), dizziness (19.3%). Altogether for the four countries, the AEFIs per 100,000 doses was 64.1 and 12.2 serious AEFIs per 100,000 doses. Recommended actions identified were strengthening national pharmacovigilance regulatory frameworks, establishing robust national pharmacovigilance centres, capacity building of professionals, enhancing communication with key stakeholders and consider relying in a regional pharmacovigilance system.</w:t>
      </w:r>
    </w:p>
    <w:p w14:paraId="50D3CA13" w14:textId="1A68DF91" w:rsidR="00C533D7" w:rsidRPr="00FD5808" w:rsidRDefault="00C533D7" w:rsidP="003F4A95">
      <w:pPr>
        <w:pStyle w:val="NoSpacing"/>
        <w:rPr>
          <w:rFonts w:cs="Times New Roman"/>
          <w:szCs w:val="24"/>
          <w:lang w:val="en-GB"/>
        </w:rPr>
      </w:pPr>
    </w:p>
    <w:p w14:paraId="007A1BFF" w14:textId="72603AC0" w:rsidR="00782471" w:rsidRPr="00FD5808" w:rsidRDefault="00E61BD5" w:rsidP="003F4A95">
      <w:pPr>
        <w:rPr>
          <w:rFonts w:ascii="Times New Roman" w:hAnsi="Times New Roman" w:cs="Times New Roman"/>
          <w:b/>
          <w:sz w:val="24"/>
          <w:szCs w:val="24"/>
        </w:rPr>
      </w:pPr>
      <w:r w:rsidRPr="00FD5808">
        <w:rPr>
          <w:rFonts w:ascii="Times New Roman" w:hAnsi="Times New Roman" w:cs="Times New Roman"/>
          <w:b/>
          <w:sz w:val="24"/>
          <w:szCs w:val="24"/>
        </w:rPr>
        <w:t>Keywords:</w:t>
      </w:r>
      <w:r w:rsidRPr="00FD5808">
        <w:rPr>
          <w:rFonts w:ascii="Times New Roman" w:hAnsi="Times New Roman" w:cs="Times New Roman"/>
          <w:sz w:val="24"/>
          <w:szCs w:val="24"/>
        </w:rPr>
        <w:t xml:space="preserve"> </w:t>
      </w:r>
      <w:r w:rsidR="00C533D7" w:rsidRPr="00FD5808">
        <w:rPr>
          <w:rFonts w:ascii="Times New Roman" w:hAnsi="Times New Roman" w:cs="Times New Roman"/>
          <w:sz w:val="24"/>
          <w:szCs w:val="24"/>
        </w:rPr>
        <w:t>vaccine safety, pharmacovigilance, COVID-19</w:t>
      </w:r>
      <w:r w:rsidR="00782471" w:rsidRPr="00FD5808">
        <w:rPr>
          <w:rFonts w:ascii="Times New Roman" w:hAnsi="Times New Roman" w:cs="Times New Roman"/>
          <w:b/>
          <w:sz w:val="24"/>
          <w:szCs w:val="24"/>
        </w:rPr>
        <w:tab/>
      </w:r>
    </w:p>
    <w:p w14:paraId="0B290D45" w14:textId="096C7A20" w:rsidR="00782471" w:rsidRPr="00FD5808" w:rsidRDefault="000B1D9C" w:rsidP="00A30356">
      <w:pPr>
        <w:spacing w:line="240" w:lineRule="auto"/>
        <w:jc w:val="center"/>
        <w:rPr>
          <w:rFonts w:ascii="Times New Roman" w:hAnsi="Times New Roman" w:cs="Times New Roman"/>
          <w:b/>
          <w:bCs/>
          <w:sz w:val="24"/>
          <w:szCs w:val="24"/>
        </w:rPr>
        <w:sectPr w:rsidR="00782471" w:rsidRPr="00FD5808" w:rsidSect="0043243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Pr>
          <w:rFonts w:ascii="Times New Roman" w:eastAsia="Calibri" w:hAnsi="Times New Roman" w:cs="Times New Roman"/>
          <w:sz w:val="24"/>
          <w:szCs w:val="24"/>
        </w:rPr>
        <w:pict w14:anchorId="27FDA84D">
          <v:rect id="_x0000_i1026" alt="" style="width:451.3pt;height:.05pt;mso-width-percent:0;mso-height-percent:0;mso-width-percent:0;mso-height-percent:0" o:hralign="center" o:hrstd="t" o:hr="t" fillcolor="#a0a0a0" stroked="f"/>
        </w:pict>
      </w:r>
    </w:p>
    <w:p w14:paraId="139EFD31" w14:textId="7467BCCA" w:rsidR="00402846" w:rsidRPr="00FD5808" w:rsidRDefault="00E23BD9" w:rsidP="00402846">
      <w:pPr>
        <w:spacing w:after="240"/>
        <w:rPr>
          <w:rFonts w:ascii="Times New Roman" w:hAnsi="Times New Roman" w:cs="Times New Roman"/>
          <w:b/>
          <w:sz w:val="24"/>
          <w:szCs w:val="24"/>
        </w:rPr>
      </w:pPr>
      <w:r w:rsidRPr="00FD5808">
        <w:rPr>
          <w:rFonts w:ascii="Times New Roman" w:hAnsi="Times New Roman" w:cs="Times New Roman"/>
          <w:b/>
          <w:sz w:val="24"/>
          <w:szCs w:val="24"/>
          <w:lang w:eastAsia="en-GB"/>
        </w:rPr>
        <w:t>I</w:t>
      </w:r>
      <w:r w:rsidR="00402846" w:rsidRPr="00FD5808">
        <w:rPr>
          <w:rFonts w:ascii="Times New Roman" w:hAnsi="Times New Roman" w:cs="Times New Roman"/>
          <w:b/>
          <w:sz w:val="24"/>
          <w:szCs w:val="24"/>
        </w:rPr>
        <w:t>ntroduction</w:t>
      </w:r>
    </w:p>
    <w:p w14:paraId="1DE62AC5" w14:textId="24E8CDED"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The COVID-19 outbreak started in December 2019, was declared a public health emergency of international concern on January</w:t>
      </w:r>
      <w:r w:rsidR="00774612">
        <w:rPr>
          <w:rFonts w:ascii="Times New Roman" w:hAnsi="Times New Roman" w:cs="Times New Roman"/>
          <w:sz w:val="24"/>
          <w:szCs w:val="24"/>
          <w:lang w:eastAsia="en-GB"/>
        </w:rPr>
        <w:t xml:space="preserve"> 30,</w:t>
      </w:r>
      <w:r w:rsidRPr="00FD5808">
        <w:rPr>
          <w:rFonts w:ascii="Times New Roman" w:hAnsi="Times New Roman" w:cs="Times New Roman"/>
          <w:sz w:val="24"/>
          <w:szCs w:val="24"/>
          <w:lang w:eastAsia="en-GB"/>
        </w:rPr>
        <w:t xml:space="preserve"> 2020 by the World Health Organization (WHO). It was officially declared a pandemic on March</w:t>
      </w:r>
      <w:r w:rsidR="00774612">
        <w:rPr>
          <w:rFonts w:ascii="Times New Roman" w:hAnsi="Times New Roman" w:cs="Times New Roman"/>
          <w:sz w:val="24"/>
          <w:szCs w:val="24"/>
          <w:lang w:eastAsia="en-GB"/>
        </w:rPr>
        <w:t xml:space="preserve"> 12,</w:t>
      </w:r>
      <w:r w:rsidRPr="00FD5808">
        <w:rPr>
          <w:rFonts w:ascii="Times New Roman" w:hAnsi="Times New Roman" w:cs="Times New Roman"/>
          <w:sz w:val="24"/>
          <w:szCs w:val="24"/>
          <w:lang w:eastAsia="en-GB"/>
        </w:rPr>
        <w:t xml:space="preserve"> 2020. One of the strategies for pandemic control was the accelerated approval of safe and effective novel COVID-19 vaccines using different vaccine platforms. This approval </w:t>
      </w:r>
      <w:r w:rsidRPr="00FD5808">
        <w:rPr>
          <w:rFonts w:ascii="Times New Roman" w:hAnsi="Times New Roman" w:cs="Times New Roman"/>
          <w:sz w:val="24"/>
          <w:szCs w:val="24"/>
          <w:lang w:eastAsia="en-GB"/>
        </w:rPr>
        <w:t xml:space="preserve">for emergency use of these vaccines called for increased vigilance </w:t>
      </w:r>
      <w:r w:rsidR="00774612">
        <w:rPr>
          <w:rFonts w:ascii="Times New Roman" w:hAnsi="Times New Roman" w:cs="Times New Roman"/>
          <w:sz w:val="24"/>
          <w:szCs w:val="24"/>
          <w:lang w:eastAsia="en-GB"/>
        </w:rPr>
        <w:t>to ensure safety.</w:t>
      </w:r>
    </w:p>
    <w:p w14:paraId="22037FFD" w14:textId="255CC64E" w:rsidR="00402846"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Pharmacovigilance is the science and activities relating to the detection, assessment, understanding and prevention of adverse effects or any other medicine/vaccine-related problem as defined by the World Health Organization.</w:t>
      </w:r>
      <w:r w:rsidR="001F275C" w:rsidRPr="00FD5808">
        <w:rPr>
          <w:rFonts w:ascii="Times New Roman" w:hAnsi="Times New Roman" w:cs="Times New Roman"/>
          <w:sz w:val="24"/>
          <w:szCs w:val="24"/>
          <w:lang w:eastAsia="en-GB"/>
        </w:rPr>
        <w:t xml:space="preserve"> (WHO 2023)</w:t>
      </w:r>
      <w:r w:rsidR="00FD5808">
        <w:rPr>
          <w:rFonts w:ascii="Times New Roman" w:hAnsi="Times New Roman" w:cs="Times New Roman"/>
          <w:sz w:val="24"/>
          <w:szCs w:val="24"/>
          <w:lang w:eastAsia="en-GB"/>
        </w:rPr>
        <w:t xml:space="preserve"> </w:t>
      </w:r>
      <w:r w:rsidRPr="00FD5808">
        <w:rPr>
          <w:rFonts w:ascii="Times New Roman" w:hAnsi="Times New Roman" w:cs="Times New Roman"/>
          <w:sz w:val="24"/>
          <w:szCs w:val="24"/>
          <w:lang w:eastAsia="en-GB"/>
        </w:rPr>
        <w:t xml:space="preserve">An adverse event following immunization (AEFI) is understood as any untoward medical event that follows </w:t>
      </w:r>
      <w:r w:rsidRPr="00FD5808">
        <w:rPr>
          <w:rFonts w:ascii="Times New Roman" w:hAnsi="Times New Roman" w:cs="Times New Roman"/>
          <w:sz w:val="24"/>
          <w:szCs w:val="24"/>
          <w:lang w:eastAsia="en-GB"/>
        </w:rPr>
        <w:lastRenderedPageBreak/>
        <w:t>immunization and that does not necessarily have a causal relationship with the use of the vaccine. The adverse event may be any unfavourable or unintended sign, abnormal laboratory finding, symptom or disease.</w:t>
      </w:r>
      <w:r w:rsidR="003626F4" w:rsidRPr="00FD5808">
        <w:rPr>
          <w:rFonts w:ascii="Times New Roman" w:hAnsi="Times New Roman" w:cs="Times New Roman"/>
          <w:sz w:val="24"/>
          <w:szCs w:val="24"/>
          <w:lang w:eastAsia="en-GB"/>
        </w:rPr>
        <w:t xml:space="preserve"> </w:t>
      </w:r>
      <w:r w:rsidR="001F275C" w:rsidRPr="00FD5808">
        <w:rPr>
          <w:rFonts w:ascii="Times New Roman" w:hAnsi="Times New Roman" w:cs="Times New Roman"/>
          <w:sz w:val="24"/>
          <w:szCs w:val="24"/>
          <w:lang w:eastAsia="en-GB"/>
        </w:rPr>
        <w:t>(WHO 2020)</w:t>
      </w:r>
    </w:p>
    <w:p w14:paraId="45916D3D" w14:textId="06823FDF" w:rsidR="00E25F44" w:rsidRPr="00FD5808" w:rsidRDefault="00E25F44" w:rsidP="00E25F44">
      <w:pPr>
        <w:spacing w:after="120"/>
        <w:rPr>
          <w:rFonts w:ascii="Times New Roman" w:hAnsi="Times New Roman" w:cs="Times New Roman"/>
          <w:sz w:val="24"/>
          <w:szCs w:val="24"/>
          <w:lang w:eastAsia="en-GB"/>
        </w:rPr>
      </w:pPr>
      <w:r w:rsidRPr="00FD5808">
        <w:rPr>
          <w:rFonts w:ascii="Times New Roman" w:hAnsi="Times New Roman" w:cs="Times New Roman"/>
          <w:sz w:val="24"/>
          <w:szCs w:val="24"/>
          <w:lang w:eastAsia="en-GB"/>
        </w:rPr>
        <w:t>The WHO defines a serious AEFI as an adverse event that results in death, hospitalization, or prolongation of an existing hospitalization, persistent or significant disability or incapacity, congenital anomaly/birth defect, or is life-threatening or is a medically important event or reaction. (WHO 2020)</w:t>
      </w:r>
    </w:p>
    <w:p w14:paraId="7B51DE21" w14:textId="6B167CF5"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 World Health Organization </w:t>
      </w:r>
      <w:r w:rsidR="002A1D58">
        <w:rPr>
          <w:rFonts w:ascii="Times New Roman" w:hAnsi="Times New Roman" w:cs="Times New Roman"/>
          <w:sz w:val="24"/>
          <w:szCs w:val="24"/>
          <w:lang w:eastAsia="en-GB"/>
        </w:rPr>
        <w:t>Programme</w:t>
      </w:r>
      <w:r w:rsidRPr="00FD5808">
        <w:rPr>
          <w:rFonts w:ascii="Times New Roman" w:hAnsi="Times New Roman" w:cs="Times New Roman"/>
          <w:sz w:val="24"/>
          <w:szCs w:val="24"/>
          <w:lang w:eastAsia="en-GB"/>
        </w:rPr>
        <w:t xml:space="preserve"> for International Drug Monitoring (WHO PIDM) is an international collaboration with the goal of ensuring timely identification of medicines-related safety problems. The WHO PIDM was launched by WHO in 1968, and 10 years later, the Uppsala Monitoring Centre (UMC) was established as a WHO Collaborating Centre for International Drug Monitoring to manage the technical and scientific aspects of the </w:t>
      </w:r>
      <w:r w:rsidR="00FD5808" w:rsidRPr="00FD5808">
        <w:rPr>
          <w:rFonts w:ascii="Times New Roman" w:hAnsi="Times New Roman" w:cs="Times New Roman"/>
          <w:sz w:val="24"/>
          <w:szCs w:val="24"/>
          <w:lang w:eastAsia="en-GB"/>
        </w:rPr>
        <w:t>programm</w:t>
      </w:r>
      <w:r w:rsidR="002A1D58">
        <w:rPr>
          <w:rFonts w:ascii="Times New Roman" w:hAnsi="Times New Roman" w:cs="Times New Roman"/>
          <w:sz w:val="24"/>
          <w:szCs w:val="24"/>
          <w:lang w:eastAsia="en-GB"/>
        </w:rPr>
        <w:t>e</w:t>
      </w:r>
      <w:r w:rsidRPr="00FD5808">
        <w:rPr>
          <w:rFonts w:ascii="Times New Roman" w:hAnsi="Times New Roman" w:cs="Times New Roman"/>
          <w:sz w:val="24"/>
          <w:szCs w:val="24"/>
          <w:lang w:eastAsia="en-GB"/>
        </w:rPr>
        <w:t>.</w:t>
      </w:r>
      <w:r w:rsidR="008E7D23" w:rsidRPr="00FD5808">
        <w:rPr>
          <w:rFonts w:ascii="Times New Roman" w:hAnsi="Times New Roman" w:cs="Times New Roman"/>
          <w:sz w:val="24"/>
          <w:szCs w:val="24"/>
          <w:lang w:eastAsia="en-GB"/>
        </w:rPr>
        <w:t xml:space="preserve"> (UM</w:t>
      </w:r>
      <w:r w:rsidR="00485661">
        <w:rPr>
          <w:rFonts w:ascii="Times New Roman" w:hAnsi="Times New Roman" w:cs="Times New Roman"/>
          <w:sz w:val="24"/>
          <w:szCs w:val="24"/>
          <w:lang w:eastAsia="en-GB"/>
        </w:rPr>
        <w:t>C, n.d.</w:t>
      </w:r>
      <w:r w:rsidR="008E7D23" w:rsidRPr="00FD5808">
        <w:rPr>
          <w:rFonts w:ascii="Times New Roman" w:hAnsi="Times New Roman" w:cs="Times New Roman"/>
          <w:sz w:val="24"/>
          <w:szCs w:val="24"/>
          <w:lang w:eastAsia="en-GB"/>
        </w:rPr>
        <w:t>)</w:t>
      </w:r>
    </w:p>
    <w:p w14:paraId="0EC3944C" w14:textId="06A4DB04"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 WHO PIDM has over 170 full members and </w:t>
      </w:r>
      <w:r w:rsidR="00774612">
        <w:rPr>
          <w:rFonts w:ascii="Times New Roman" w:hAnsi="Times New Roman" w:cs="Times New Roman"/>
          <w:sz w:val="24"/>
          <w:szCs w:val="24"/>
          <w:lang w:eastAsia="en-GB"/>
        </w:rPr>
        <w:t xml:space="preserve">up </w:t>
      </w:r>
      <w:r w:rsidRPr="00FD5808">
        <w:rPr>
          <w:rFonts w:ascii="Times New Roman" w:hAnsi="Times New Roman" w:cs="Times New Roman"/>
          <w:sz w:val="24"/>
          <w:szCs w:val="24"/>
          <w:lang w:eastAsia="en-GB"/>
        </w:rPr>
        <w:t>to 2022</w:t>
      </w:r>
      <w:r w:rsidR="00774612">
        <w:rPr>
          <w:rFonts w:ascii="Times New Roman" w:hAnsi="Times New Roman" w:cs="Times New Roman"/>
          <w:sz w:val="24"/>
          <w:szCs w:val="24"/>
          <w:lang w:eastAsia="en-GB"/>
        </w:rPr>
        <w:t xml:space="preserve"> </w:t>
      </w:r>
      <w:r w:rsidR="00774612" w:rsidRPr="00FD5808">
        <w:rPr>
          <w:rFonts w:ascii="Times New Roman" w:hAnsi="Times New Roman" w:cs="Times New Roman"/>
          <w:sz w:val="24"/>
          <w:szCs w:val="24"/>
          <w:lang w:eastAsia="en-GB"/>
        </w:rPr>
        <w:t>associate members</w:t>
      </w:r>
      <w:r w:rsidRPr="00FD5808">
        <w:rPr>
          <w:rFonts w:ascii="Times New Roman" w:hAnsi="Times New Roman" w:cs="Times New Roman"/>
          <w:sz w:val="24"/>
          <w:szCs w:val="24"/>
          <w:lang w:eastAsia="en-GB"/>
        </w:rPr>
        <w:t>.</w:t>
      </w:r>
      <w:r w:rsidR="00FD5808" w:rsidRPr="00FD5808">
        <w:rPr>
          <w:rFonts w:ascii="Times New Roman" w:hAnsi="Times New Roman" w:cs="Times New Roman"/>
          <w:sz w:val="24"/>
          <w:szCs w:val="24"/>
          <w:lang w:eastAsia="en-GB"/>
        </w:rPr>
        <w:t xml:space="preserve"> </w:t>
      </w:r>
      <w:r w:rsidR="008E7D23" w:rsidRPr="00485661">
        <w:rPr>
          <w:rFonts w:ascii="Times New Roman" w:hAnsi="Times New Roman" w:cs="Times New Roman"/>
          <w:sz w:val="24"/>
          <w:szCs w:val="24"/>
          <w:lang w:eastAsia="en-GB"/>
        </w:rPr>
        <w:t>(UMC</w:t>
      </w:r>
      <w:r w:rsidR="00485661" w:rsidRPr="00485661">
        <w:rPr>
          <w:rFonts w:ascii="Times New Roman" w:hAnsi="Times New Roman" w:cs="Times New Roman"/>
          <w:sz w:val="24"/>
          <w:szCs w:val="24"/>
          <w:lang w:eastAsia="en-GB"/>
        </w:rPr>
        <w:t>, n.d.</w:t>
      </w:r>
      <w:r w:rsidR="008E7D23" w:rsidRPr="00485661">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This covers about 99% of the global population. The Caribbean Community (CARICOM) member states include Antigua and Barbuda, The Bahamas, Barbados, Belize, Dominica, Grenada, Guyana, Haiti, Jamaica, Montserrat, St. Kitts and Nevis, St. Lucia, St. Vincent and the Grenadines, Suriname, and Trinidad and Tobago. The associate members are Anguilla, Bermuda, the British Virgin Islands, the Cayman Islands, and the Turks and Caicos Islands.</w:t>
      </w:r>
    </w:p>
    <w:p w14:paraId="001CE847" w14:textId="4CE6641B"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From CARICOM, there are a total of 4 full members in the WHO PIDM: Barbados, Jamaica, Suriname, and St. Vicent and the Grenadines</w:t>
      </w:r>
      <w:r w:rsidR="003626F4" w:rsidRPr="00FD5808">
        <w:rPr>
          <w:rFonts w:ascii="Times New Roman" w:hAnsi="Times New Roman" w:cs="Times New Roman"/>
          <w:sz w:val="24"/>
          <w:szCs w:val="24"/>
          <w:lang w:eastAsia="en-GB"/>
        </w:rPr>
        <w:t>. A</w:t>
      </w:r>
      <w:r w:rsidRPr="00FD5808">
        <w:rPr>
          <w:rFonts w:ascii="Times New Roman" w:hAnsi="Times New Roman" w:cs="Times New Roman"/>
          <w:sz w:val="24"/>
          <w:szCs w:val="24"/>
          <w:lang w:eastAsia="en-GB"/>
        </w:rPr>
        <w:t>ssociate members</w:t>
      </w:r>
      <w:r w:rsidR="003626F4" w:rsidRPr="00FD5808">
        <w:rPr>
          <w:rFonts w:ascii="Times New Roman" w:hAnsi="Times New Roman" w:cs="Times New Roman"/>
          <w:sz w:val="24"/>
          <w:szCs w:val="24"/>
          <w:lang w:eastAsia="en-GB"/>
        </w:rPr>
        <w:t xml:space="preserve"> include </w:t>
      </w:r>
      <w:r w:rsidRPr="00FD5808">
        <w:rPr>
          <w:rFonts w:ascii="Times New Roman" w:hAnsi="Times New Roman" w:cs="Times New Roman"/>
          <w:sz w:val="24"/>
          <w:szCs w:val="24"/>
          <w:lang w:eastAsia="en-GB"/>
        </w:rPr>
        <w:t>Antigua and Barbuda, Bahamas, Belize, Dominica, Grenada, Guyana, Haiti, St. Kitts and Nevis, St. Lucia, Anguilla, British Virgin Islands and Montserrat.</w:t>
      </w:r>
    </w:p>
    <w:p w14:paraId="700795E6" w14:textId="46D15C1D"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 WHO PIDM has different global databases for use. VigiFlow is a web-based individual case safety report (ICSR) management system specifically for medicines and vaccines developed and maintained by the UMC. VigiBase is the WHO global database of reported potential side effects of medicinal products by PIDM member countries. During the COVID-19 pandemic, UMC expanded VigiFlow </w:t>
      </w:r>
      <w:r w:rsidR="003626F4" w:rsidRPr="00FD5808">
        <w:rPr>
          <w:rFonts w:ascii="Times New Roman" w:hAnsi="Times New Roman" w:cs="Times New Roman"/>
          <w:sz w:val="24"/>
          <w:szCs w:val="24"/>
          <w:lang w:eastAsia="en-GB"/>
        </w:rPr>
        <w:t>to include the</w:t>
      </w:r>
      <w:r w:rsidRPr="00FD5808">
        <w:rPr>
          <w:rFonts w:ascii="Times New Roman" w:hAnsi="Times New Roman" w:cs="Times New Roman"/>
          <w:sz w:val="24"/>
          <w:szCs w:val="24"/>
          <w:lang w:eastAsia="en-GB"/>
        </w:rPr>
        <w:t xml:space="preserve"> WHO AEFI form. AEFI line listings can be extracted to help identify vaccine batch-related problems and immunisation-related errors at the local level. </w:t>
      </w:r>
    </w:p>
    <w:p w14:paraId="6E0E9BE7" w14:textId="5CF926F8"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In CARICOM, the Caribbean Regulatory System (CRS)</w:t>
      </w:r>
      <w:r w:rsidR="003626F4" w:rsidRPr="00FD5808">
        <w:rPr>
          <w:rFonts w:ascii="Times New Roman" w:hAnsi="Times New Roman" w:cs="Times New Roman"/>
          <w:sz w:val="24"/>
          <w:szCs w:val="24"/>
          <w:lang w:eastAsia="en-GB"/>
        </w:rPr>
        <w:t xml:space="preserve"> is </w:t>
      </w:r>
      <w:r w:rsidRPr="00FD5808">
        <w:rPr>
          <w:rFonts w:ascii="Times New Roman" w:hAnsi="Times New Roman" w:cs="Times New Roman"/>
          <w:sz w:val="24"/>
          <w:szCs w:val="24"/>
          <w:lang w:eastAsia="en-GB"/>
        </w:rPr>
        <w:t xml:space="preserve">the regulatory unit within the Caribbean Public Health Agency (CARPHA). Within the CRS is a regional voluntary system, VigiCarib, that was rolled out in late 2017 to report suspected adverse drug reactions and substandard and falsified medical products. The Caribbean Regulatory System publishes a monthly newsletter known as VigiCarib News. This publication shares monthly updates on case safety reports with the VigiCarib network and its stakeholders. </w:t>
      </w:r>
      <w:r w:rsidR="003626F4" w:rsidRPr="00FD5808">
        <w:rPr>
          <w:rFonts w:ascii="Times New Roman" w:hAnsi="Times New Roman" w:cs="Times New Roman"/>
          <w:sz w:val="24"/>
          <w:szCs w:val="24"/>
          <w:lang w:eastAsia="en-GB"/>
        </w:rPr>
        <w:t>In</w:t>
      </w:r>
      <w:r w:rsidRPr="00FD5808">
        <w:rPr>
          <w:rFonts w:ascii="Times New Roman" w:hAnsi="Times New Roman" w:cs="Times New Roman"/>
          <w:sz w:val="24"/>
          <w:szCs w:val="24"/>
          <w:lang w:eastAsia="en-GB"/>
        </w:rPr>
        <w:t xml:space="preserve"> 202</w:t>
      </w:r>
      <w:r w:rsidR="00FD5808" w:rsidRPr="00FD5808">
        <w:rPr>
          <w:rFonts w:ascii="Times New Roman" w:hAnsi="Times New Roman" w:cs="Times New Roman"/>
          <w:sz w:val="24"/>
          <w:szCs w:val="24"/>
          <w:lang w:eastAsia="en-GB"/>
        </w:rPr>
        <w:t>1</w:t>
      </w:r>
      <w:r w:rsidR="003626F4" w:rsidRPr="00FD580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VigiCarib started to include reporting adverse events following immunization (AEFIs).  </w:t>
      </w:r>
    </w:p>
    <w:p w14:paraId="417FE52E" w14:textId="2A398FAA"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Most of the Caribbean countries lack pharmacovigilance legislation. In Jamaica, the National Pharmacovigilance Centre is </w:t>
      </w:r>
      <w:r w:rsidRPr="00FD5808">
        <w:rPr>
          <w:rFonts w:ascii="Times New Roman" w:hAnsi="Times New Roman" w:cs="Times New Roman"/>
          <w:sz w:val="24"/>
          <w:szCs w:val="24"/>
          <w:lang w:eastAsia="en-GB"/>
        </w:rPr>
        <w:lastRenderedPageBreak/>
        <w:t>the repository for suspected adverse reaction reports, which are spontaneous reports by healthcare professionals and marketing authorization holders. As for</w:t>
      </w:r>
      <w:r w:rsidR="003626F4" w:rsidRPr="00FD5808">
        <w:rPr>
          <w:rFonts w:ascii="Times New Roman" w:hAnsi="Times New Roman" w:cs="Times New Roman"/>
          <w:sz w:val="24"/>
          <w:szCs w:val="24"/>
          <w:lang w:eastAsia="en-GB"/>
        </w:rPr>
        <w:t xml:space="preserve"> the</w:t>
      </w:r>
      <w:r w:rsidRPr="00FD5808">
        <w:rPr>
          <w:rFonts w:ascii="Times New Roman" w:hAnsi="Times New Roman" w:cs="Times New Roman"/>
          <w:sz w:val="24"/>
          <w:szCs w:val="24"/>
          <w:lang w:eastAsia="en-GB"/>
        </w:rPr>
        <w:t xml:space="preserve"> national legal framework</w:t>
      </w:r>
      <w:r w:rsidR="003626F4" w:rsidRPr="00FD5808">
        <w:rPr>
          <w:rFonts w:ascii="Times New Roman" w:hAnsi="Times New Roman" w:cs="Times New Roman"/>
          <w:sz w:val="24"/>
          <w:szCs w:val="24"/>
          <w:lang w:eastAsia="en-GB"/>
        </w:rPr>
        <w:t xml:space="preserve"> in Jamaica</w:t>
      </w:r>
      <w:r w:rsidRPr="00FD5808">
        <w:rPr>
          <w:rFonts w:ascii="Times New Roman" w:hAnsi="Times New Roman" w:cs="Times New Roman"/>
          <w:sz w:val="24"/>
          <w:szCs w:val="24"/>
          <w:lang w:eastAsia="en-GB"/>
        </w:rPr>
        <w:t>, the Food and Drugs Act, Regulation 70, 1975 indicates: “Where any person receives any report of any unexpected side effects, injury, toxicity or sensitivity reaction associated with clinical uses, studies, investigation and tests respecting any new drug, he shall immediately inform the Minister thereof, furnishing him with the full information available.” Local adverse reaction reports are submitted via PharmWatch Drug Monitoring Reporting Forms available online to the National Pharmacovigilance Centre. These spontaneous reports are then submitted to VigiBase using the International Council for Harmonisation of Technical Requirements for Pharmaceuticals for Human Use (</w:t>
      </w:r>
      <w:r w:rsidR="006B33CA" w:rsidRPr="00FD5808">
        <w:rPr>
          <w:rFonts w:ascii="Times New Roman" w:hAnsi="Times New Roman" w:cs="Times New Roman"/>
          <w:sz w:val="24"/>
          <w:szCs w:val="24"/>
          <w:lang w:eastAsia="en-GB"/>
        </w:rPr>
        <w:t>ICH) Guideline E2B (R3) format. (</w:t>
      </w:r>
      <w:r w:rsidR="00485661">
        <w:rPr>
          <w:rFonts w:ascii="Times New Roman" w:hAnsi="Times New Roman" w:cs="Times New Roman"/>
          <w:sz w:val="24"/>
          <w:szCs w:val="24"/>
          <w:lang w:eastAsia="en-GB"/>
        </w:rPr>
        <w:t>Ministry of Health and Wellness, 2023</w:t>
      </w:r>
      <w:r w:rsidR="006B33CA" w:rsidRPr="00FD5808">
        <w:rPr>
          <w:rFonts w:ascii="Times New Roman" w:hAnsi="Times New Roman" w:cs="Times New Roman"/>
          <w:sz w:val="24"/>
          <w:szCs w:val="24"/>
          <w:lang w:eastAsia="en-GB"/>
        </w:rPr>
        <w:t>)</w:t>
      </w:r>
    </w:p>
    <w:p w14:paraId="6287DDB7" w14:textId="7D492B52" w:rsidR="00402846"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As for Barbados, the Barbados Drug Service is the National Pharmacovigilance Centre to which adverse event reports are submitted</w:t>
      </w:r>
      <w:r w:rsidR="006B6B06">
        <w:rPr>
          <w:rFonts w:ascii="Times New Roman" w:hAnsi="Times New Roman" w:cs="Times New Roman"/>
          <w:sz w:val="24"/>
          <w:szCs w:val="24"/>
          <w:lang w:eastAsia="en-GB"/>
        </w:rPr>
        <w:t xml:space="preserve">, which then submits it to the </w:t>
      </w:r>
      <w:r w:rsidRPr="00FD5808">
        <w:rPr>
          <w:rFonts w:ascii="Times New Roman" w:hAnsi="Times New Roman" w:cs="Times New Roman"/>
          <w:sz w:val="24"/>
          <w:szCs w:val="24"/>
          <w:lang w:eastAsia="en-GB"/>
        </w:rPr>
        <w:t xml:space="preserve">VigiBase. </w:t>
      </w:r>
      <w:r w:rsidR="002A1D58">
        <w:rPr>
          <w:rFonts w:ascii="Times New Roman" w:hAnsi="Times New Roman" w:cs="Times New Roman"/>
          <w:sz w:val="24"/>
          <w:szCs w:val="24"/>
          <w:lang w:eastAsia="en-GB"/>
        </w:rPr>
        <w:t>No pharmacovigilance laws or regulations exist</w:t>
      </w:r>
      <w:r w:rsidRPr="00FD5808">
        <w:rPr>
          <w:rFonts w:ascii="Times New Roman" w:hAnsi="Times New Roman" w:cs="Times New Roman"/>
          <w:sz w:val="24"/>
          <w:szCs w:val="24"/>
          <w:lang w:eastAsia="en-GB"/>
        </w:rPr>
        <w:t xml:space="preserve">; </w:t>
      </w:r>
      <w:r w:rsidR="006B6B06">
        <w:rPr>
          <w:rFonts w:ascii="Times New Roman" w:hAnsi="Times New Roman" w:cs="Times New Roman"/>
          <w:sz w:val="24"/>
          <w:szCs w:val="24"/>
          <w:lang w:eastAsia="en-GB"/>
        </w:rPr>
        <w:t>however</w:t>
      </w:r>
      <w:r w:rsidR="00786DCC">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the Drug Service Act indicates as an offense: “Any person who maliciously commits an act that is likely to have an adverse effect on the operation of the Drug Service.” </w:t>
      </w:r>
    </w:p>
    <w:p w14:paraId="0427499B" w14:textId="0FF99779" w:rsidR="00402846" w:rsidRPr="00E25F44" w:rsidRDefault="002A1D58" w:rsidP="00402846">
      <w:pPr>
        <w:spacing w:after="240"/>
        <w:rPr>
          <w:rFonts w:ascii="Times New Roman" w:hAnsi="Times New Roman" w:cs="Times New Roman"/>
          <w:sz w:val="24"/>
          <w:szCs w:val="24"/>
          <w:lang w:val="es-GT" w:eastAsia="en-GB"/>
        </w:rPr>
      </w:pPr>
      <w:r>
        <w:rPr>
          <w:rFonts w:ascii="Times New Roman" w:hAnsi="Times New Roman" w:cs="Times New Roman"/>
          <w:sz w:val="24"/>
          <w:szCs w:val="24"/>
          <w:lang w:eastAsia="en-GB"/>
        </w:rPr>
        <w:t>The Department of Pharmacy, Medicines and Traditional Medicine (DPM/MT) coordinates pharmacovigilance activities in Haiti</w:t>
      </w:r>
      <w:r w:rsidR="00402846" w:rsidRPr="00FD5808">
        <w:rPr>
          <w:rFonts w:ascii="Times New Roman" w:hAnsi="Times New Roman" w:cs="Times New Roman"/>
          <w:sz w:val="24"/>
          <w:szCs w:val="24"/>
          <w:lang w:eastAsia="en-GB"/>
        </w:rPr>
        <w:t>. It includes all stakeholders within its health system, such as importers and distributors of pharmaceutical products, non-governmental organizations and humanitarian organizations, health professi</w:t>
      </w:r>
      <w:r w:rsidR="006B33CA" w:rsidRPr="00FD5808">
        <w:rPr>
          <w:rFonts w:ascii="Times New Roman" w:hAnsi="Times New Roman" w:cs="Times New Roman"/>
          <w:sz w:val="24"/>
          <w:szCs w:val="24"/>
          <w:lang w:eastAsia="en-GB"/>
        </w:rPr>
        <w:t xml:space="preserve">onals, and the public. </w:t>
      </w:r>
      <w:r w:rsidR="006B33CA" w:rsidRPr="00E25F44">
        <w:rPr>
          <w:rFonts w:ascii="Times New Roman" w:hAnsi="Times New Roman" w:cs="Times New Roman"/>
          <w:sz w:val="24"/>
          <w:szCs w:val="24"/>
          <w:lang w:val="es-GT" w:eastAsia="en-GB"/>
        </w:rPr>
        <w:t>(</w:t>
      </w:r>
      <w:r w:rsidR="00E25F44" w:rsidRPr="00E25F44">
        <w:rPr>
          <w:rFonts w:ascii="Times New Roman" w:hAnsi="Times New Roman" w:cs="Times New Roman"/>
          <w:sz w:val="24"/>
          <w:szCs w:val="24"/>
          <w:lang w:val="es-GT" w:eastAsia="en-GB"/>
        </w:rPr>
        <w:t>Ministére de la Santé Publique et de la population.</w:t>
      </w:r>
      <w:r w:rsidR="00E25F44">
        <w:rPr>
          <w:rFonts w:ascii="Times New Roman" w:hAnsi="Times New Roman" w:cs="Times New Roman"/>
          <w:sz w:val="24"/>
          <w:szCs w:val="24"/>
          <w:lang w:val="es-GT" w:eastAsia="en-GB"/>
        </w:rPr>
        <w:t>,n.d.</w:t>
      </w:r>
      <w:r w:rsidR="006B33CA" w:rsidRPr="00E25F44">
        <w:rPr>
          <w:rFonts w:ascii="Times New Roman" w:hAnsi="Times New Roman" w:cs="Times New Roman"/>
          <w:sz w:val="24"/>
          <w:szCs w:val="24"/>
          <w:lang w:val="es-GT" w:eastAsia="en-GB"/>
        </w:rPr>
        <w:t>)</w:t>
      </w:r>
    </w:p>
    <w:p w14:paraId="0BBD2B46" w14:textId="4E73622E" w:rsidR="00E23BD9" w:rsidRPr="00FD5808" w:rsidRDefault="00402846" w:rsidP="00402846">
      <w:pPr>
        <w:spacing w:after="240"/>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In St. Vincent and the Grenadines, there is no legal framework for pharmacovigilance despite the existence of a national pharmacovigilance </w:t>
      </w:r>
      <w:r w:rsidR="00FD5808" w:rsidRPr="00FD5808">
        <w:rPr>
          <w:rFonts w:ascii="Times New Roman" w:hAnsi="Times New Roman" w:cs="Times New Roman"/>
          <w:sz w:val="24"/>
          <w:szCs w:val="24"/>
          <w:lang w:eastAsia="en-GB"/>
        </w:rPr>
        <w:t>centre</w:t>
      </w:r>
      <w:r w:rsidRPr="00FD5808">
        <w:rPr>
          <w:rFonts w:ascii="Times New Roman" w:hAnsi="Times New Roman" w:cs="Times New Roman"/>
          <w:sz w:val="24"/>
          <w:szCs w:val="24"/>
          <w:lang w:eastAsia="en-GB"/>
        </w:rPr>
        <w:t xml:space="preserve"> and the submission of ICSRs to VigiBase.</w:t>
      </w:r>
      <w:r w:rsidR="006B33CA" w:rsidRPr="00FD5808">
        <w:rPr>
          <w:rFonts w:ascii="Times New Roman" w:hAnsi="Times New Roman" w:cs="Times New Roman"/>
          <w:sz w:val="24"/>
          <w:szCs w:val="24"/>
          <w:lang w:eastAsia="en-GB"/>
        </w:rPr>
        <w:t xml:space="preserve"> (</w:t>
      </w:r>
      <w:r w:rsidR="00E25F44" w:rsidRPr="00786DCC">
        <w:rPr>
          <w:rFonts w:ascii="Times New Roman" w:hAnsi="Times New Roman" w:cs="Times New Roman"/>
          <w:sz w:val="24"/>
          <w:szCs w:val="24"/>
          <w:lang w:val="en-BZ" w:eastAsia="en-GB"/>
        </w:rPr>
        <w:t>Walker et al. 2023)</w:t>
      </w:r>
    </w:p>
    <w:p w14:paraId="013BEC04" w14:textId="77777777" w:rsidR="00E23BD9" w:rsidRPr="00FD5808" w:rsidRDefault="00E23BD9" w:rsidP="00E23BD9">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Importance of COVID-19 vaccine safety surveillance</w:t>
      </w:r>
    </w:p>
    <w:p w14:paraId="72D9FBF7" w14:textId="4013360B" w:rsidR="00E23BD9" w:rsidRPr="00FD5808" w:rsidRDefault="00E23BD9" w:rsidP="00E23BD9">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One of the countermeasures to the COVID-19 pandemic was the development of vaccines </w:t>
      </w:r>
      <w:r w:rsidR="00760284" w:rsidRPr="00FD5808">
        <w:rPr>
          <w:rFonts w:ascii="Times New Roman" w:hAnsi="Times New Roman" w:cs="Times New Roman"/>
          <w:sz w:val="24"/>
          <w:szCs w:val="24"/>
          <w:lang w:eastAsia="en-GB"/>
        </w:rPr>
        <w:t xml:space="preserve">with </w:t>
      </w:r>
      <w:r w:rsidRPr="00FD5808">
        <w:rPr>
          <w:rFonts w:ascii="Times New Roman" w:hAnsi="Times New Roman" w:cs="Times New Roman"/>
          <w:sz w:val="24"/>
          <w:szCs w:val="24"/>
          <w:lang w:eastAsia="en-GB"/>
        </w:rPr>
        <w:t xml:space="preserve">accelerated approvals. The emergency use authorization of various COVID-19 vaccines was made possible via the concurrent performance of multiple clinical trial phases and the presence of large patient cohorts in these studies. </w:t>
      </w:r>
      <w:r w:rsidR="00760284" w:rsidRPr="00FD5808">
        <w:rPr>
          <w:rFonts w:ascii="Times New Roman" w:hAnsi="Times New Roman" w:cs="Times New Roman"/>
          <w:sz w:val="24"/>
          <w:szCs w:val="24"/>
          <w:lang w:eastAsia="en-GB"/>
        </w:rPr>
        <w:t>Large</w:t>
      </w:r>
      <w:r w:rsidRPr="00FD5808">
        <w:rPr>
          <w:rFonts w:ascii="Times New Roman" w:hAnsi="Times New Roman" w:cs="Times New Roman"/>
          <w:sz w:val="24"/>
          <w:szCs w:val="24"/>
          <w:lang w:eastAsia="en-GB"/>
        </w:rPr>
        <w:t xml:space="preserve"> phase III trial has limitations, </w:t>
      </w:r>
      <w:r w:rsidR="00760284" w:rsidRPr="00FD5808">
        <w:rPr>
          <w:rFonts w:ascii="Times New Roman" w:hAnsi="Times New Roman" w:cs="Times New Roman"/>
          <w:sz w:val="24"/>
          <w:szCs w:val="24"/>
          <w:lang w:eastAsia="en-GB"/>
        </w:rPr>
        <w:t>including a</w:t>
      </w:r>
      <w:r w:rsidRPr="00FD5808">
        <w:rPr>
          <w:rFonts w:ascii="Times New Roman" w:hAnsi="Times New Roman" w:cs="Times New Roman"/>
          <w:sz w:val="24"/>
          <w:szCs w:val="24"/>
          <w:lang w:eastAsia="en-GB"/>
        </w:rPr>
        <w:t xml:space="preserve"> short post-authorization follow-up period and the inability to detect rare (</w:t>
      </w:r>
      <w:r w:rsidRPr="00FD5808">
        <w:rPr>
          <w:rFonts w:ascii="Cambria Math" w:hAnsi="Cambria Math" w:cs="Cambria Math"/>
          <w:sz w:val="24"/>
          <w:szCs w:val="24"/>
          <w:lang w:eastAsia="en-GB"/>
        </w:rPr>
        <w:t>⩾</w:t>
      </w:r>
      <w:r w:rsidRPr="00FD5808">
        <w:rPr>
          <w:rFonts w:ascii="Times New Roman" w:hAnsi="Times New Roman" w:cs="Times New Roman"/>
          <w:sz w:val="24"/>
          <w:szCs w:val="24"/>
          <w:lang w:eastAsia="en-GB"/>
        </w:rPr>
        <w:t xml:space="preserve"> 1 in 10,000 to &lt; 1 in 1,000 vaccines) and very rare (</w:t>
      </w:r>
      <w:r w:rsidRPr="00FD5808">
        <w:rPr>
          <w:rFonts w:ascii="Cambria Math" w:hAnsi="Cambria Math" w:cs="Cambria Math"/>
          <w:sz w:val="24"/>
          <w:szCs w:val="24"/>
          <w:lang w:eastAsia="en-GB"/>
        </w:rPr>
        <w:t>⩽</w:t>
      </w:r>
      <w:r w:rsidRPr="00FD5808">
        <w:rPr>
          <w:rFonts w:ascii="Times New Roman" w:hAnsi="Times New Roman" w:cs="Times New Roman"/>
          <w:sz w:val="24"/>
          <w:szCs w:val="24"/>
          <w:lang w:eastAsia="en-GB"/>
        </w:rPr>
        <w:t xml:space="preserve"> 1 in 10,000 vaccinees) adverse events that become apparent only when the vaccines </w:t>
      </w:r>
      <w:r w:rsidR="001A0B00" w:rsidRPr="00FD5808">
        <w:rPr>
          <w:rFonts w:ascii="Times New Roman" w:hAnsi="Times New Roman" w:cs="Times New Roman"/>
          <w:sz w:val="24"/>
          <w:szCs w:val="24"/>
          <w:lang w:eastAsia="en-GB"/>
        </w:rPr>
        <w:t xml:space="preserve">are used </w:t>
      </w:r>
      <w:r w:rsidRPr="00FD5808">
        <w:rPr>
          <w:rFonts w:ascii="Times New Roman" w:hAnsi="Times New Roman" w:cs="Times New Roman"/>
          <w:sz w:val="24"/>
          <w:szCs w:val="24"/>
          <w:lang w:eastAsia="en-GB"/>
        </w:rPr>
        <w:t>widely.</w:t>
      </w:r>
      <w:r w:rsidR="001A0B00" w:rsidRPr="00FD5808">
        <w:rPr>
          <w:rFonts w:ascii="Times New Roman" w:hAnsi="Times New Roman" w:cs="Times New Roman"/>
          <w:sz w:val="24"/>
          <w:szCs w:val="24"/>
          <w:lang w:eastAsia="en-GB"/>
        </w:rPr>
        <w:t xml:space="preserve"> </w:t>
      </w:r>
      <w:r w:rsidR="005F2B81" w:rsidRPr="00FD5808">
        <w:rPr>
          <w:rFonts w:ascii="Times New Roman" w:hAnsi="Times New Roman" w:cs="Times New Roman"/>
          <w:sz w:val="24"/>
          <w:szCs w:val="24"/>
          <w:lang w:eastAsia="en-GB"/>
        </w:rPr>
        <w:t xml:space="preserve">(PAHO, 2020) </w:t>
      </w:r>
      <w:r w:rsidR="001A0B00" w:rsidRPr="00FD5808">
        <w:rPr>
          <w:rFonts w:ascii="Times New Roman" w:hAnsi="Times New Roman" w:cs="Times New Roman"/>
          <w:sz w:val="24"/>
          <w:szCs w:val="24"/>
          <w:lang w:eastAsia="en-GB"/>
        </w:rPr>
        <w:t>Therefore,</w:t>
      </w:r>
      <w:r w:rsidRPr="00FD5808">
        <w:rPr>
          <w:rFonts w:ascii="Times New Roman" w:hAnsi="Times New Roman" w:cs="Times New Roman"/>
          <w:sz w:val="24"/>
          <w:szCs w:val="24"/>
          <w:lang w:eastAsia="en-GB"/>
        </w:rPr>
        <w:t xml:space="preserve"> the post-market surveillance of COVID-19 vaccines </w:t>
      </w:r>
      <w:r w:rsidR="001A0B00" w:rsidRPr="00FD5808">
        <w:rPr>
          <w:rFonts w:ascii="Times New Roman" w:hAnsi="Times New Roman" w:cs="Times New Roman"/>
          <w:sz w:val="24"/>
          <w:szCs w:val="24"/>
          <w:lang w:eastAsia="en-GB"/>
        </w:rPr>
        <w:t xml:space="preserve">is </w:t>
      </w:r>
      <w:r w:rsidRPr="00FD5808">
        <w:rPr>
          <w:rFonts w:ascii="Times New Roman" w:hAnsi="Times New Roman" w:cs="Times New Roman"/>
          <w:sz w:val="24"/>
          <w:szCs w:val="24"/>
          <w:lang w:eastAsia="en-GB"/>
        </w:rPr>
        <w:t xml:space="preserve">pivotal to timely capture </w:t>
      </w:r>
      <w:r w:rsidR="001A0B00" w:rsidRPr="00FD5808">
        <w:rPr>
          <w:rFonts w:ascii="Times New Roman" w:hAnsi="Times New Roman" w:cs="Times New Roman"/>
          <w:sz w:val="24"/>
          <w:szCs w:val="24"/>
          <w:lang w:eastAsia="en-GB"/>
        </w:rPr>
        <w:t xml:space="preserve">of </w:t>
      </w:r>
      <w:r w:rsidRPr="00FD5808">
        <w:rPr>
          <w:rFonts w:ascii="Times New Roman" w:hAnsi="Times New Roman" w:cs="Times New Roman"/>
          <w:sz w:val="24"/>
          <w:szCs w:val="24"/>
          <w:lang w:eastAsia="en-GB"/>
        </w:rPr>
        <w:t>safety data to prevent risks and ensure patient safety.</w:t>
      </w:r>
    </w:p>
    <w:p w14:paraId="2FA41A82" w14:textId="0EAD232C" w:rsidR="00E23BD9" w:rsidRPr="00FD5808" w:rsidRDefault="00E23BD9" w:rsidP="00E23BD9">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According to WHO, COVID-19 vaccines can cause side effects, most of which are mild or moderate,</w:t>
      </w:r>
      <w:r w:rsidR="001A0B00" w:rsidRPr="00FD5808">
        <w:rPr>
          <w:rFonts w:ascii="Times New Roman" w:hAnsi="Times New Roman" w:cs="Times New Roman"/>
          <w:sz w:val="24"/>
          <w:szCs w:val="24"/>
          <w:lang w:eastAsia="en-GB"/>
        </w:rPr>
        <w:t xml:space="preserve"> and go away within a few days. However, </w:t>
      </w:r>
      <w:r w:rsidRPr="00FD5808">
        <w:rPr>
          <w:rFonts w:ascii="Times New Roman" w:hAnsi="Times New Roman" w:cs="Times New Roman"/>
          <w:sz w:val="24"/>
          <w:szCs w:val="24"/>
          <w:lang w:eastAsia="en-GB"/>
        </w:rPr>
        <w:t xml:space="preserve">more </w:t>
      </w:r>
      <w:r w:rsidR="00FD5808" w:rsidRPr="00FD5808">
        <w:rPr>
          <w:rFonts w:ascii="Times New Roman" w:hAnsi="Times New Roman" w:cs="Times New Roman"/>
          <w:sz w:val="24"/>
          <w:szCs w:val="24"/>
          <w:lang w:eastAsia="en-GB"/>
        </w:rPr>
        <w:t>serious,</w:t>
      </w:r>
      <w:r w:rsidRPr="00FD5808">
        <w:rPr>
          <w:rFonts w:ascii="Times New Roman" w:hAnsi="Times New Roman" w:cs="Times New Roman"/>
          <w:sz w:val="24"/>
          <w:szCs w:val="24"/>
          <w:lang w:eastAsia="en-GB"/>
        </w:rPr>
        <w:t xml:space="preserve"> or long-lasting side effects are possible. In 2021, the typical side effects of COVID-19 vaccines included pain at the injection site, fever, fatigue, headache, mu</w:t>
      </w:r>
      <w:r w:rsidR="001A0B00" w:rsidRPr="00FD5808">
        <w:rPr>
          <w:rFonts w:ascii="Times New Roman" w:hAnsi="Times New Roman" w:cs="Times New Roman"/>
          <w:sz w:val="24"/>
          <w:szCs w:val="24"/>
          <w:lang w:eastAsia="en-GB"/>
        </w:rPr>
        <w:t xml:space="preserve">scle pain, chills, and diarrhea and </w:t>
      </w:r>
      <w:r w:rsidRPr="00FD5808">
        <w:rPr>
          <w:rFonts w:ascii="Times New Roman" w:hAnsi="Times New Roman" w:cs="Times New Roman"/>
          <w:sz w:val="24"/>
          <w:szCs w:val="24"/>
          <w:lang w:eastAsia="en-GB"/>
        </w:rPr>
        <w:t xml:space="preserve">this varies </w:t>
      </w:r>
      <w:r w:rsidR="001A0B00" w:rsidRPr="00FD5808">
        <w:rPr>
          <w:rFonts w:ascii="Times New Roman" w:hAnsi="Times New Roman" w:cs="Times New Roman"/>
          <w:sz w:val="24"/>
          <w:szCs w:val="24"/>
          <w:lang w:eastAsia="en-GB"/>
        </w:rPr>
        <w:t xml:space="preserve">to the </w:t>
      </w:r>
      <w:r w:rsidRPr="00FD5808">
        <w:rPr>
          <w:rFonts w:ascii="Times New Roman" w:hAnsi="Times New Roman" w:cs="Times New Roman"/>
          <w:sz w:val="24"/>
          <w:szCs w:val="24"/>
          <w:lang w:eastAsia="en-GB"/>
        </w:rPr>
        <w:t>specific vaccine.</w:t>
      </w:r>
      <w:r w:rsidR="005F2B81" w:rsidRPr="00FD5808">
        <w:rPr>
          <w:rFonts w:ascii="Times New Roman" w:hAnsi="Times New Roman" w:cs="Times New Roman"/>
          <w:sz w:val="24"/>
          <w:szCs w:val="24"/>
          <w:lang w:eastAsia="en-GB"/>
        </w:rPr>
        <w:t xml:space="preserve"> </w:t>
      </w:r>
      <w:r w:rsidR="001A0B00" w:rsidRPr="00FD5808">
        <w:rPr>
          <w:rFonts w:ascii="Times New Roman" w:hAnsi="Times New Roman" w:cs="Times New Roman"/>
          <w:sz w:val="24"/>
          <w:szCs w:val="24"/>
          <w:lang w:eastAsia="en-GB"/>
        </w:rPr>
        <w:t>(WHO 2023)</w:t>
      </w:r>
      <w:r w:rsidRPr="00FD5808">
        <w:rPr>
          <w:rFonts w:ascii="Times New Roman" w:hAnsi="Times New Roman" w:cs="Times New Roman"/>
          <w:sz w:val="24"/>
          <w:szCs w:val="24"/>
          <w:lang w:eastAsia="en-GB"/>
        </w:rPr>
        <w:t xml:space="preserve"> Adverse Events of Special Interest (AESI) ha</w:t>
      </w:r>
      <w:r w:rsidR="002A1D58">
        <w:rPr>
          <w:rFonts w:ascii="Times New Roman" w:hAnsi="Times New Roman" w:cs="Times New Roman"/>
          <w:sz w:val="24"/>
          <w:szCs w:val="24"/>
          <w:lang w:eastAsia="en-GB"/>
        </w:rPr>
        <w:t>ve</w:t>
      </w:r>
      <w:r w:rsidRPr="00FD5808">
        <w:rPr>
          <w:rFonts w:ascii="Times New Roman" w:hAnsi="Times New Roman" w:cs="Times New Roman"/>
          <w:sz w:val="24"/>
          <w:szCs w:val="24"/>
          <w:lang w:eastAsia="en-GB"/>
        </w:rPr>
        <w:t xml:space="preserve"> </w:t>
      </w:r>
      <w:r w:rsidR="004D35EC" w:rsidRPr="00FD5808">
        <w:rPr>
          <w:rFonts w:ascii="Times New Roman" w:hAnsi="Times New Roman" w:cs="Times New Roman"/>
          <w:sz w:val="24"/>
          <w:szCs w:val="24"/>
          <w:lang w:eastAsia="en-GB"/>
        </w:rPr>
        <w:t xml:space="preserve">also </w:t>
      </w:r>
      <w:r w:rsidRPr="00FD5808">
        <w:rPr>
          <w:rFonts w:ascii="Times New Roman" w:hAnsi="Times New Roman" w:cs="Times New Roman"/>
          <w:sz w:val="24"/>
          <w:szCs w:val="24"/>
          <w:lang w:eastAsia="en-GB"/>
        </w:rPr>
        <w:t xml:space="preserve">been </w:t>
      </w:r>
      <w:r w:rsidR="006B6B06">
        <w:rPr>
          <w:rFonts w:ascii="Times New Roman" w:hAnsi="Times New Roman" w:cs="Times New Roman"/>
          <w:sz w:val="24"/>
          <w:szCs w:val="24"/>
          <w:lang w:eastAsia="en-GB"/>
        </w:rPr>
        <w:t>associated with Covid vaccines</w:t>
      </w:r>
      <w:r w:rsidRPr="00FD5808">
        <w:rPr>
          <w:rFonts w:ascii="Times New Roman" w:hAnsi="Times New Roman" w:cs="Times New Roman"/>
          <w:sz w:val="24"/>
          <w:szCs w:val="24"/>
          <w:lang w:eastAsia="en-GB"/>
        </w:rPr>
        <w:t>.</w:t>
      </w:r>
    </w:p>
    <w:p w14:paraId="4599C245" w14:textId="042C4FDB" w:rsidR="00E23BD9" w:rsidRPr="00FD5808" w:rsidRDefault="00E23BD9" w:rsidP="00E23BD9">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This study presents the publicly available COVID-19 AEFI data for selected CARICOM countries that </w:t>
      </w:r>
      <w:r w:rsidR="001A0B00" w:rsidRPr="00FD5808">
        <w:rPr>
          <w:rFonts w:ascii="Times New Roman" w:hAnsi="Times New Roman" w:cs="Times New Roman"/>
          <w:sz w:val="24"/>
          <w:szCs w:val="24"/>
          <w:lang w:eastAsia="en-GB"/>
        </w:rPr>
        <w:t xml:space="preserve">was </w:t>
      </w:r>
      <w:r w:rsidRPr="00FD5808">
        <w:rPr>
          <w:rFonts w:ascii="Times New Roman" w:hAnsi="Times New Roman" w:cs="Times New Roman"/>
          <w:sz w:val="24"/>
          <w:szCs w:val="24"/>
          <w:lang w:eastAsia="en-GB"/>
        </w:rPr>
        <w:t>report</w:t>
      </w:r>
      <w:r w:rsidR="001A0B00" w:rsidRPr="00FD5808">
        <w:rPr>
          <w:rFonts w:ascii="Times New Roman" w:hAnsi="Times New Roman" w:cs="Times New Roman"/>
          <w:sz w:val="24"/>
          <w:szCs w:val="24"/>
          <w:lang w:eastAsia="en-GB"/>
        </w:rPr>
        <w:t>ed</w:t>
      </w:r>
      <w:r w:rsidRPr="00FD5808">
        <w:rPr>
          <w:rFonts w:ascii="Times New Roman" w:hAnsi="Times New Roman" w:cs="Times New Roman"/>
          <w:sz w:val="24"/>
          <w:szCs w:val="24"/>
          <w:lang w:eastAsia="en-GB"/>
        </w:rPr>
        <w:t xml:space="preserve"> to VigiBase. It aims to provide key characteristics of this data and provide recommendations on vaccine safety surveillance in the Caribbean.</w:t>
      </w:r>
    </w:p>
    <w:p w14:paraId="36BEB120" w14:textId="77777777" w:rsidR="00E23BD9" w:rsidRPr="00FD5808" w:rsidRDefault="00E23BD9" w:rsidP="00E23BD9">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Objectives</w:t>
      </w:r>
    </w:p>
    <w:p w14:paraId="4C9DED38" w14:textId="36542345" w:rsidR="00E23BD9" w:rsidRPr="00FD5808" w:rsidRDefault="001A0B00" w:rsidP="001A0B00">
      <w:pPr>
        <w:spacing w:after="120"/>
        <w:rPr>
          <w:rFonts w:ascii="Times New Roman" w:hAnsi="Times New Roman" w:cs="Times New Roman"/>
          <w:sz w:val="24"/>
          <w:szCs w:val="24"/>
          <w:lang w:eastAsia="en-GB"/>
        </w:rPr>
      </w:pPr>
      <w:r w:rsidRPr="00FD5808">
        <w:rPr>
          <w:rFonts w:ascii="Times New Roman" w:hAnsi="Times New Roman" w:cs="Times New Roman"/>
          <w:sz w:val="24"/>
          <w:szCs w:val="24"/>
          <w:lang w:eastAsia="en-GB"/>
        </w:rPr>
        <w:t>The purpose of this study is to</w:t>
      </w:r>
      <w:r w:rsidR="00E23BD9" w:rsidRPr="00FD5808">
        <w:rPr>
          <w:rFonts w:ascii="Times New Roman" w:hAnsi="Times New Roman" w:cs="Times New Roman"/>
          <w:sz w:val="24"/>
          <w:szCs w:val="24"/>
          <w:lang w:eastAsia="en-GB"/>
        </w:rPr>
        <w:t xml:space="preserve"> identify the characteristics of case reports of adverse events following immunization (AEFIs) with COVID-19 vaccines based on publicly available information on Individual Case Safety Reports (ICSRs) in</w:t>
      </w:r>
      <w:r w:rsidRPr="00FD5808">
        <w:rPr>
          <w:rFonts w:ascii="Times New Roman" w:hAnsi="Times New Roman" w:cs="Times New Roman"/>
          <w:sz w:val="24"/>
          <w:szCs w:val="24"/>
          <w:lang w:eastAsia="en-GB"/>
        </w:rPr>
        <w:t xml:space="preserve"> the global database, VigiBase - </w:t>
      </w:r>
      <w:r w:rsidR="00E23BD9" w:rsidRPr="00FD5808">
        <w:rPr>
          <w:rFonts w:ascii="Times New Roman" w:hAnsi="Times New Roman" w:cs="Times New Roman"/>
          <w:sz w:val="24"/>
          <w:szCs w:val="24"/>
          <w:lang w:eastAsia="en-GB"/>
        </w:rPr>
        <w:t xml:space="preserve">submitted by national pharmacovigilance </w:t>
      </w:r>
      <w:r w:rsidR="00FD5808" w:rsidRPr="00FD5808">
        <w:rPr>
          <w:rFonts w:ascii="Times New Roman" w:hAnsi="Times New Roman" w:cs="Times New Roman"/>
          <w:sz w:val="24"/>
          <w:szCs w:val="24"/>
          <w:lang w:eastAsia="en-GB"/>
        </w:rPr>
        <w:t>centres</w:t>
      </w:r>
      <w:r w:rsidR="00E23BD9" w:rsidRPr="00FD5808">
        <w:rPr>
          <w:rFonts w:ascii="Times New Roman" w:hAnsi="Times New Roman" w:cs="Times New Roman"/>
          <w:sz w:val="24"/>
          <w:szCs w:val="24"/>
          <w:lang w:eastAsia="en-GB"/>
        </w:rPr>
        <w:t xml:space="preserve"> in four CARICOM countries</w:t>
      </w:r>
      <w:r w:rsidR="00E7632E" w:rsidRPr="00FD5808">
        <w:rPr>
          <w:rFonts w:ascii="Times New Roman" w:hAnsi="Times New Roman" w:cs="Times New Roman"/>
          <w:sz w:val="24"/>
          <w:szCs w:val="24"/>
          <w:lang w:eastAsia="en-GB"/>
        </w:rPr>
        <w:t xml:space="preserve"> (Barbados, Haiti, Jamaica, and St. Vincent, and the Grenadines)</w:t>
      </w:r>
      <w:r w:rsidR="00E23BD9" w:rsidRPr="00FD5808">
        <w:rPr>
          <w:rFonts w:ascii="Times New Roman" w:hAnsi="Times New Roman" w:cs="Times New Roman"/>
          <w:sz w:val="24"/>
          <w:szCs w:val="24"/>
          <w:lang w:eastAsia="en-GB"/>
        </w:rPr>
        <w:t xml:space="preserve"> with membership in the </w:t>
      </w:r>
      <w:r w:rsidRPr="00FD5808">
        <w:rPr>
          <w:rFonts w:ascii="Times New Roman" w:hAnsi="Times New Roman" w:cs="Times New Roman"/>
          <w:sz w:val="24"/>
          <w:szCs w:val="24"/>
          <w:lang w:eastAsia="en-GB"/>
        </w:rPr>
        <w:t>PIDM.</w:t>
      </w:r>
      <w:r w:rsidR="00E23BD9" w:rsidRPr="00FD5808">
        <w:rPr>
          <w:rFonts w:ascii="Times New Roman" w:hAnsi="Times New Roman" w:cs="Times New Roman"/>
          <w:sz w:val="24"/>
          <w:szCs w:val="24"/>
          <w:lang w:eastAsia="en-GB"/>
        </w:rPr>
        <w:t xml:space="preserve"> </w:t>
      </w:r>
    </w:p>
    <w:p w14:paraId="61A259F4" w14:textId="77777777" w:rsidR="00E23BD9" w:rsidRPr="00FD5808" w:rsidRDefault="00E23BD9" w:rsidP="00E23BD9">
      <w:pPr>
        <w:rPr>
          <w:rFonts w:ascii="Times New Roman" w:hAnsi="Times New Roman" w:cs="Times New Roman"/>
          <w:b/>
          <w:bCs/>
          <w:sz w:val="24"/>
          <w:szCs w:val="24"/>
          <w:lang w:eastAsia="en-GB"/>
        </w:rPr>
      </w:pPr>
      <w:r w:rsidRPr="00FD5808">
        <w:rPr>
          <w:rFonts w:ascii="Times New Roman" w:hAnsi="Times New Roman" w:cs="Times New Roman"/>
          <w:b/>
          <w:bCs/>
          <w:sz w:val="24"/>
          <w:szCs w:val="24"/>
          <w:lang w:eastAsia="en-GB"/>
        </w:rPr>
        <w:t>Methodology</w:t>
      </w:r>
    </w:p>
    <w:p w14:paraId="2C61D2F6" w14:textId="41BCD04D" w:rsidR="00E23BD9" w:rsidRPr="00FD5808" w:rsidRDefault="00E23BD9" w:rsidP="00E23BD9">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A scoping review of the publicly available data on case reports of adverse events following immunization (AEFIs) with COVID-19 vaccines based on Individual Case Safety Reports (ICSRs)</w:t>
      </w:r>
      <w:r w:rsidR="00E7632E" w:rsidRPr="00FD5808">
        <w:rPr>
          <w:rFonts w:ascii="Times New Roman" w:hAnsi="Times New Roman" w:cs="Times New Roman"/>
          <w:sz w:val="24"/>
          <w:szCs w:val="24"/>
          <w:lang w:eastAsia="en-GB"/>
        </w:rPr>
        <w:t xml:space="preserve"> from Barbados, Haiti, Jamaica, and St. Vincent, and the Grenadines</w:t>
      </w:r>
      <w:r w:rsidRPr="00FD5808">
        <w:rPr>
          <w:rFonts w:ascii="Times New Roman" w:hAnsi="Times New Roman" w:cs="Times New Roman"/>
          <w:sz w:val="24"/>
          <w:szCs w:val="24"/>
          <w:lang w:eastAsia="en-GB"/>
        </w:rPr>
        <w:t xml:space="preserve"> in VigiBase was conducted. </w:t>
      </w:r>
    </w:p>
    <w:p w14:paraId="3FE701BB" w14:textId="0EA5FD67" w:rsidR="00E23BD9" w:rsidRPr="00FD5808" w:rsidRDefault="002A1D58" w:rsidP="00E23BD9">
      <w:pPr>
        <w:rPr>
          <w:rFonts w:ascii="Times New Roman" w:hAnsi="Times New Roman" w:cs="Times New Roman"/>
          <w:sz w:val="24"/>
          <w:szCs w:val="24"/>
          <w:lang w:eastAsia="en-GB"/>
        </w:rPr>
      </w:pPr>
      <w:r>
        <w:rPr>
          <w:rFonts w:ascii="Times New Roman" w:hAnsi="Times New Roman" w:cs="Times New Roman"/>
          <w:sz w:val="24"/>
          <w:szCs w:val="24"/>
          <w:lang w:eastAsia="en-GB"/>
        </w:rPr>
        <w:t>Based on publicly published data, the study period was from 1 March 2021 to 14 December 2022</w:t>
      </w:r>
      <w:r w:rsidR="00E23BD9" w:rsidRPr="00FD5808">
        <w:rPr>
          <w:rFonts w:ascii="Times New Roman" w:hAnsi="Times New Roman" w:cs="Times New Roman"/>
          <w:sz w:val="24"/>
          <w:szCs w:val="24"/>
          <w:lang w:eastAsia="en-GB"/>
        </w:rPr>
        <w:t>. The only source of public information that wa</w:t>
      </w:r>
      <w:r w:rsidR="008E7D23" w:rsidRPr="00FD5808">
        <w:rPr>
          <w:rFonts w:ascii="Times New Roman" w:hAnsi="Times New Roman" w:cs="Times New Roman"/>
          <w:sz w:val="24"/>
          <w:szCs w:val="24"/>
          <w:lang w:eastAsia="en-GB"/>
        </w:rPr>
        <w:t>s identified was VigiCarib News (CARPHA 2021)</w:t>
      </w:r>
      <w:r w:rsidR="00E23BD9" w:rsidRPr="00FD5808">
        <w:rPr>
          <w:rFonts w:ascii="Times New Roman" w:hAnsi="Times New Roman" w:cs="Times New Roman"/>
          <w:sz w:val="24"/>
          <w:szCs w:val="24"/>
          <w:lang w:eastAsia="en-GB"/>
        </w:rPr>
        <w:t>. The data includes the consolidated number of reported COVID-19 AEFI and reporting rate, patient age groups reported for AEFIs, and top reported reactions for AEFIs in VigiBase.</w:t>
      </w:r>
    </w:p>
    <w:p w14:paraId="1C3A3F06" w14:textId="77777777" w:rsidR="00E23BD9" w:rsidRPr="00FD5808" w:rsidRDefault="00E23BD9" w:rsidP="00E23BD9">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Results</w:t>
      </w:r>
    </w:p>
    <w:p w14:paraId="019085BA" w14:textId="3FE7E823" w:rsidR="00E23BD9" w:rsidRPr="00FD5808" w:rsidRDefault="00E23BD9" w:rsidP="00E23BD9">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 ICSRs include the COVID-19 vaccines as appeared on the publicly available data as follows: </w:t>
      </w:r>
    </w:p>
    <w:p w14:paraId="2066DB0F" w14:textId="15BC4E17"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COVID-19 vaccine NRVV Ad (ChAdOx1-S recombinant) by AstraZeneca or Serum Institute of India (COVISHIELD) </w:t>
      </w:r>
    </w:p>
    <w:p w14:paraId="24EE818E" w14:textId="644C7F73"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COVID-19 vaccine NRVV Ad26 (Gam-Covid-Vac – Sputnik V) </w:t>
      </w:r>
    </w:p>
    <w:p w14:paraId="6CECDEEA" w14:textId="10935536"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Tozinameran (Pfizer-BioNTech COVID-19 vaccine) </w:t>
      </w:r>
    </w:p>
    <w:p w14:paraId="5630B3A6" w14:textId="7F871F46"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COVID-19 vaccine NRVV Ad26 (JNJ 78436735) Johnson &amp; Johnson </w:t>
      </w:r>
    </w:p>
    <w:p w14:paraId="2568DA79" w14:textId="33620BC8"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COVID-19 vaccine inactivated (Vero cell) HB02 – BIBP-Sinopharm </w:t>
      </w:r>
    </w:p>
    <w:p w14:paraId="42920E67" w14:textId="4AF15A01"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COVID-19 vaccine inactivated (Vero cell) WIV04 - Sinopharm-Wuhan </w:t>
      </w:r>
    </w:p>
    <w:p w14:paraId="783F52F7" w14:textId="1B60CAB7" w:rsidR="00E23BD9" w:rsidRPr="006B6B06" w:rsidRDefault="00E23BD9" w:rsidP="006B6B06">
      <w:pPr>
        <w:pStyle w:val="ListParagraph"/>
        <w:numPr>
          <w:ilvl w:val="0"/>
          <w:numId w:val="22"/>
        </w:numPr>
        <w:spacing w:line="240" w:lineRule="auto"/>
        <w:rPr>
          <w:rFonts w:ascii="Times New Roman" w:hAnsi="Times New Roman" w:cs="Times New Roman"/>
          <w:sz w:val="24"/>
          <w:szCs w:val="24"/>
          <w:lang w:eastAsia="en-GB"/>
        </w:rPr>
      </w:pPr>
      <w:r w:rsidRPr="006B6B06">
        <w:rPr>
          <w:rFonts w:ascii="Times New Roman" w:hAnsi="Times New Roman" w:cs="Times New Roman"/>
          <w:sz w:val="24"/>
          <w:szCs w:val="24"/>
          <w:lang w:eastAsia="en-GB"/>
        </w:rPr>
        <w:t xml:space="preserve">Elasomeran, COVID-19 Vaccine Moderna </w:t>
      </w:r>
    </w:p>
    <w:p w14:paraId="0E103361" w14:textId="12886FCA" w:rsidR="00D24C99" w:rsidRPr="006B6B06" w:rsidRDefault="00E23BD9" w:rsidP="006B6B06">
      <w:pPr>
        <w:pStyle w:val="ListParagraph"/>
        <w:numPr>
          <w:ilvl w:val="0"/>
          <w:numId w:val="22"/>
        </w:numPr>
        <w:spacing w:line="240" w:lineRule="auto"/>
        <w:rPr>
          <w:rFonts w:ascii="Times New Roman" w:hAnsi="Times New Roman" w:cs="Times New Roman"/>
          <w:sz w:val="24"/>
          <w:szCs w:val="24"/>
        </w:rPr>
      </w:pPr>
      <w:r w:rsidRPr="006B6B06">
        <w:rPr>
          <w:rFonts w:ascii="Times New Roman" w:hAnsi="Times New Roman" w:cs="Times New Roman"/>
          <w:sz w:val="24"/>
          <w:szCs w:val="24"/>
          <w:lang w:eastAsia="en-GB"/>
        </w:rPr>
        <w:t>Covid-19 Vaccine (unspecified)</w:t>
      </w:r>
      <w:r w:rsidR="00372828" w:rsidRPr="006B6B06">
        <w:rPr>
          <w:rFonts w:ascii="Times New Roman" w:hAnsi="Times New Roman" w:cs="Times New Roman"/>
          <w:sz w:val="24"/>
          <w:szCs w:val="24"/>
        </w:rPr>
        <w:t xml:space="preserve"> </w:t>
      </w:r>
    </w:p>
    <w:p w14:paraId="2462D518" w14:textId="77777777" w:rsidR="00D24C99" w:rsidRPr="00FD5808" w:rsidRDefault="00D24C99" w:rsidP="00372828">
      <w:pPr>
        <w:spacing w:line="240" w:lineRule="auto"/>
        <w:rPr>
          <w:rFonts w:ascii="Times New Roman" w:hAnsi="Times New Roman" w:cs="Times New Roman"/>
          <w:sz w:val="24"/>
          <w:szCs w:val="24"/>
        </w:rPr>
      </w:pPr>
    </w:p>
    <w:p w14:paraId="0078216B" w14:textId="5951C57E" w:rsidR="00372828" w:rsidRPr="00FD5808" w:rsidRDefault="00372828" w:rsidP="00372828">
      <w:pPr>
        <w:spacing w:line="240" w:lineRule="auto"/>
        <w:rPr>
          <w:rFonts w:ascii="Times New Roman" w:hAnsi="Times New Roman" w:cs="Times New Roman"/>
          <w:b/>
          <w:bCs/>
          <w:sz w:val="24"/>
          <w:szCs w:val="24"/>
          <w:lang w:eastAsia="en-GB"/>
        </w:rPr>
      </w:pPr>
      <w:r w:rsidRPr="00FD5808">
        <w:rPr>
          <w:rFonts w:ascii="Times New Roman" w:hAnsi="Times New Roman" w:cs="Times New Roman"/>
          <w:b/>
          <w:bCs/>
          <w:sz w:val="24"/>
          <w:szCs w:val="24"/>
          <w:lang w:eastAsia="en-GB"/>
        </w:rPr>
        <w:t>Discussion</w:t>
      </w:r>
    </w:p>
    <w:p w14:paraId="1BA6C93C" w14:textId="7B0FDC53" w:rsidR="00372828" w:rsidRPr="00FD5808" w:rsidRDefault="00372828" w:rsidP="00372828">
      <w:pPr>
        <w:spacing w:line="240" w:lineRule="auto"/>
        <w:rPr>
          <w:rFonts w:ascii="Times New Roman" w:hAnsi="Times New Roman" w:cs="Times New Roman"/>
          <w:sz w:val="24"/>
          <w:szCs w:val="24"/>
          <w:lang w:eastAsia="en-GB"/>
        </w:rPr>
      </w:pPr>
      <w:r w:rsidRPr="00FD5808">
        <w:rPr>
          <w:rFonts w:ascii="Times New Roman" w:hAnsi="Times New Roman" w:cs="Times New Roman"/>
          <w:sz w:val="24"/>
          <w:szCs w:val="24"/>
          <w:lang w:eastAsia="en-GB"/>
        </w:rPr>
        <w:t>As of December</w:t>
      </w:r>
      <w:r w:rsidR="006B6B06">
        <w:rPr>
          <w:rFonts w:ascii="Times New Roman" w:hAnsi="Times New Roman" w:cs="Times New Roman"/>
          <w:sz w:val="24"/>
          <w:szCs w:val="24"/>
          <w:lang w:eastAsia="en-GB"/>
        </w:rPr>
        <w:t xml:space="preserve"> 14,</w:t>
      </w:r>
      <w:r w:rsidRPr="00FD5808">
        <w:rPr>
          <w:rFonts w:ascii="Times New Roman" w:hAnsi="Times New Roman" w:cs="Times New Roman"/>
          <w:sz w:val="24"/>
          <w:szCs w:val="24"/>
          <w:lang w:eastAsia="en-GB"/>
        </w:rPr>
        <w:t xml:space="preserve"> 2022, CARICOM countries and territories had seen 1,007,451 COVID-19 cases, 15,367 COVID-19 deaths, and 4,037,028 vaccinations with at least one dose</w:t>
      </w:r>
      <w:r w:rsidR="006B6B06">
        <w:rPr>
          <w:rFonts w:ascii="Times New Roman" w:hAnsi="Times New Roman" w:cs="Times New Roman"/>
          <w:sz w:val="24"/>
          <w:szCs w:val="24"/>
          <w:lang w:eastAsia="en-GB"/>
        </w:rPr>
        <w:t xml:space="preserve"> and </w:t>
      </w:r>
      <w:r w:rsidRPr="00FD5808">
        <w:rPr>
          <w:rFonts w:ascii="Times New Roman" w:hAnsi="Times New Roman" w:cs="Times New Roman"/>
          <w:sz w:val="24"/>
          <w:szCs w:val="24"/>
          <w:lang w:eastAsia="en-GB"/>
        </w:rPr>
        <w:t>between 2.05% and 88.03% of per</w:t>
      </w:r>
      <w:r w:rsidR="00E7632E" w:rsidRPr="00FD5808">
        <w:rPr>
          <w:rFonts w:ascii="Times New Roman" w:hAnsi="Times New Roman" w:cs="Times New Roman"/>
          <w:sz w:val="24"/>
          <w:szCs w:val="24"/>
          <w:lang w:eastAsia="en-GB"/>
        </w:rPr>
        <w:t>sons ha</w:t>
      </w:r>
      <w:r w:rsidR="006B6B06">
        <w:rPr>
          <w:rFonts w:ascii="Times New Roman" w:hAnsi="Times New Roman" w:cs="Times New Roman"/>
          <w:sz w:val="24"/>
          <w:szCs w:val="24"/>
          <w:lang w:eastAsia="en-GB"/>
        </w:rPr>
        <w:t>d</w:t>
      </w:r>
      <w:r w:rsidR="00E7632E" w:rsidRPr="00FD5808">
        <w:rPr>
          <w:rFonts w:ascii="Times New Roman" w:hAnsi="Times New Roman" w:cs="Times New Roman"/>
          <w:sz w:val="24"/>
          <w:szCs w:val="24"/>
          <w:lang w:eastAsia="en-GB"/>
        </w:rPr>
        <w:t xml:space="preserve"> been fully vaccinated. (CARPHA 202</w:t>
      </w:r>
      <w:r w:rsidR="008E7D23" w:rsidRPr="00FD5808">
        <w:rPr>
          <w:rFonts w:ascii="Times New Roman" w:hAnsi="Times New Roman" w:cs="Times New Roman"/>
          <w:sz w:val="24"/>
          <w:szCs w:val="24"/>
          <w:lang w:eastAsia="en-GB"/>
        </w:rPr>
        <w:t>2</w:t>
      </w:r>
      <w:r w:rsidR="00E7632E" w:rsidRPr="00FD580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w:t>
      </w:r>
    </w:p>
    <w:p w14:paraId="6882C196" w14:textId="41807517" w:rsidR="00372828" w:rsidRPr="00FD5808" w:rsidRDefault="00372828" w:rsidP="00372828">
      <w:pPr>
        <w:spacing w:line="240" w:lineRule="auto"/>
        <w:rPr>
          <w:rFonts w:ascii="Times New Roman" w:hAnsi="Times New Roman" w:cs="Times New Roman"/>
          <w:sz w:val="24"/>
          <w:szCs w:val="24"/>
          <w:lang w:eastAsia="en-GB"/>
        </w:rPr>
      </w:pPr>
      <w:r w:rsidRPr="00FD5808">
        <w:rPr>
          <w:rFonts w:ascii="Times New Roman" w:hAnsi="Times New Roman" w:cs="Times New Roman"/>
          <w:sz w:val="24"/>
          <w:szCs w:val="24"/>
          <w:lang w:eastAsia="en-GB"/>
        </w:rPr>
        <w:t>The presented AEFI data on the CARICOM countries was based on publicly available information published by the Caribbean Regulatory System in its monthly newsletter, VigiCarib News. The last published data for the year 2022 had a cut-off date of December</w:t>
      </w:r>
      <w:r w:rsidR="006B6B06">
        <w:rPr>
          <w:rFonts w:ascii="Times New Roman" w:hAnsi="Times New Roman" w:cs="Times New Roman"/>
          <w:sz w:val="24"/>
          <w:szCs w:val="24"/>
          <w:lang w:eastAsia="en-GB"/>
        </w:rPr>
        <w:t xml:space="preserve"> 14,</w:t>
      </w:r>
      <w:r w:rsidRPr="00FD5808">
        <w:rPr>
          <w:rFonts w:ascii="Times New Roman" w:hAnsi="Times New Roman" w:cs="Times New Roman"/>
          <w:sz w:val="24"/>
          <w:szCs w:val="24"/>
          <w:lang w:eastAsia="en-GB"/>
        </w:rPr>
        <w:t xml:space="preserve"> 2022. At the end of this period, there were 1,582 AEFI case reports on COVID-19 vaccines on VigiBase for the four selected CARICOM countries.</w:t>
      </w:r>
    </w:p>
    <w:p w14:paraId="504EB62B" w14:textId="529DD601" w:rsidR="00872A98" w:rsidRPr="00FD5808" w:rsidRDefault="00372828" w:rsidP="00872A98">
      <w:pPr>
        <w:spacing w:line="240" w:lineRule="auto"/>
        <w:rPr>
          <w:rFonts w:ascii="Times New Roman" w:hAnsi="Times New Roman" w:cs="Times New Roman"/>
          <w:sz w:val="24"/>
          <w:szCs w:val="24"/>
          <w:lang w:eastAsia="en-GB"/>
        </w:rPr>
      </w:pPr>
      <w:r w:rsidRPr="00FD5808">
        <w:rPr>
          <w:rFonts w:ascii="Times New Roman" w:hAnsi="Times New Roman" w:cs="Times New Roman"/>
          <w:sz w:val="24"/>
          <w:szCs w:val="24"/>
          <w:lang w:eastAsia="en-GB"/>
        </w:rPr>
        <w:t>Based on the PAHO COVID-19 Vaccination in the Americas database</w:t>
      </w:r>
      <w:r w:rsidR="00E7632E" w:rsidRPr="00FD5808">
        <w:rPr>
          <w:rFonts w:ascii="Times New Roman" w:hAnsi="Times New Roman" w:cs="Times New Roman"/>
          <w:sz w:val="24"/>
          <w:szCs w:val="24"/>
          <w:lang w:eastAsia="en-GB"/>
        </w:rPr>
        <w:t xml:space="preserve"> (PAHO</w:t>
      </w:r>
      <w:r w:rsidR="005F2B81" w:rsidRPr="00FD5808">
        <w:rPr>
          <w:rFonts w:ascii="Times New Roman" w:hAnsi="Times New Roman" w:cs="Times New Roman"/>
          <w:sz w:val="24"/>
          <w:szCs w:val="24"/>
          <w:lang w:eastAsia="en-GB"/>
        </w:rPr>
        <w:t>, 202</w:t>
      </w:r>
      <w:r w:rsidR="00E25F44">
        <w:rPr>
          <w:rFonts w:ascii="Times New Roman" w:hAnsi="Times New Roman" w:cs="Times New Roman"/>
          <w:sz w:val="24"/>
          <w:szCs w:val="24"/>
          <w:lang w:eastAsia="en-GB"/>
        </w:rPr>
        <w:t>3</w:t>
      </w:r>
      <w:r w:rsidR="00E7632E" w:rsidRPr="00FD580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at the end of week 52 of the year 2022, Barbados accounted for 53.9 complete</w:t>
      </w:r>
      <w:r w:rsidR="006B6B06">
        <w:rPr>
          <w:rFonts w:ascii="Times New Roman" w:hAnsi="Times New Roman" w:cs="Times New Roman"/>
          <w:sz w:val="24"/>
          <w:szCs w:val="24"/>
          <w:lang w:eastAsia="en-GB"/>
        </w:rPr>
        <w:t xml:space="preserve">d vaccine </w:t>
      </w:r>
      <w:r w:rsidRPr="00FD5808">
        <w:rPr>
          <w:rFonts w:ascii="Times New Roman" w:hAnsi="Times New Roman" w:cs="Times New Roman"/>
          <w:sz w:val="24"/>
          <w:szCs w:val="24"/>
          <w:lang w:eastAsia="en-GB"/>
        </w:rPr>
        <w:t>schedule per 100 people, Haiti for 2.1 per 100 people, Jamaica for 25.0 schedule per 100 people and St. Vincent and the Grenadines 28.3 per 100 people.</w:t>
      </w:r>
      <w:r w:rsidR="002E1DFA" w:rsidRPr="00FD5808">
        <w:rPr>
          <w:rFonts w:ascii="Times New Roman" w:hAnsi="Times New Roman" w:cs="Times New Roman"/>
          <w:sz w:val="24"/>
          <w:szCs w:val="24"/>
          <w:lang w:eastAsia="en-GB"/>
        </w:rPr>
        <w:t xml:space="preserve"> </w:t>
      </w:r>
    </w:p>
    <w:p w14:paraId="17643AB3" w14:textId="7E2AED4A" w:rsidR="00872A98" w:rsidRPr="00FD5808" w:rsidRDefault="0095182B" w:rsidP="00872A98">
      <w:pPr>
        <w:spacing w:line="240" w:lineRule="auto"/>
        <w:rPr>
          <w:rFonts w:ascii="Times New Roman" w:hAnsi="Times New Roman" w:cs="Times New Roman"/>
          <w:sz w:val="24"/>
          <w:szCs w:val="24"/>
          <w:shd w:val="clear" w:color="auto" w:fill="FFFFFF"/>
        </w:rPr>
      </w:pPr>
      <w:r w:rsidRPr="00FD5808">
        <w:rPr>
          <w:rFonts w:ascii="Times New Roman" w:hAnsi="Times New Roman" w:cs="Times New Roman"/>
          <w:sz w:val="24"/>
          <w:szCs w:val="24"/>
          <w:shd w:val="clear" w:color="auto" w:fill="FFFFFF"/>
        </w:rPr>
        <w:t>In December 2022, CARPHA data show</w:t>
      </w:r>
      <w:r w:rsidR="002A1D58">
        <w:rPr>
          <w:rFonts w:ascii="Times New Roman" w:hAnsi="Times New Roman" w:cs="Times New Roman"/>
          <w:sz w:val="24"/>
          <w:szCs w:val="24"/>
          <w:shd w:val="clear" w:color="auto" w:fill="FFFFFF"/>
        </w:rPr>
        <w:t>ed</w:t>
      </w:r>
      <w:r w:rsidRPr="00FD5808">
        <w:rPr>
          <w:rFonts w:ascii="Times New Roman" w:hAnsi="Times New Roman" w:cs="Times New Roman"/>
          <w:sz w:val="24"/>
          <w:szCs w:val="24"/>
          <w:shd w:val="clear" w:color="auto" w:fill="FFFFFF"/>
        </w:rPr>
        <w:t xml:space="preserve"> that the COVID-19 vaccines deployed in </w:t>
      </w:r>
      <w:r w:rsidR="00872A98" w:rsidRPr="00FD5808">
        <w:rPr>
          <w:rFonts w:ascii="Times New Roman" w:hAnsi="Times New Roman" w:cs="Times New Roman"/>
          <w:sz w:val="24"/>
          <w:szCs w:val="24"/>
          <w:shd w:val="clear" w:color="auto" w:fill="FFFFFF"/>
        </w:rPr>
        <w:t>Caricom counties as follows:</w:t>
      </w:r>
      <w:r w:rsidR="00872A98" w:rsidRPr="00FD5808">
        <w:rPr>
          <w:rFonts w:ascii="Times New Roman" w:hAnsi="Times New Roman" w:cs="Times New Roman"/>
          <w:sz w:val="24"/>
          <w:szCs w:val="24"/>
          <w:shd w:val="clear" w:color="auto" w:fill="FFFFFF"/>
        </w:rPr>
        <w:br/>
      </w:r>
      <w:r w:rsidR="00872A98" w:rsidRPr="00FD5808">
        <w:rPr>
          <w:rFonts w:ascii="Times New Roman" w:hAnsi="Times New Roman" w:cs="Times New Roman"/>
          <w:sz w:val="24"/>
          <w:szCs w:val="24"/>
          <w:shd w:val="clear" w:color="auto" w:fill="FFFFFF"/>
        </w:rPr>
        <w:br/>
      </w:r>
      <w:r w:rsidR="00872A98" w:rsidRPr="00FD5808">
        <w:rPr>
          <w:rFonts w:ascii="Times New Roman" w:hAnsi="Times New Roman" w:cs="Times New Roman"/>
          <w:b/>
          <w:sz w:val="24"/>
          <w:szCs w:val="24"/>
          <w:shd w:val="clear" w:color="auto" w:fill="FFFFFF"/>
        </w:rPr>
        <w:t>Haiti:</w:t>
      </w:r>
    </w:p>
    <w:p w14:paraId="58E3D10A"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Pfizer-BioNTech – Comirnaty  -55.9%</w:t>
      </w:r>
    </w:p>
    <w:p w14:paraId="5617DEFF" w14:textId="77777777" w:rsidR="00A5472E" w:rsidRPr="00FD5808" w:rsidRDefault="00872A98" w:rsidP="00A5472E">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Janssen  Ad26.COV 2.5 -25% </w:t>
      </w:r>
    </w:p>
    <w:p w14:paraId="294521EA" w14:textId="6BFA12AE" w:rsidR="00872A98" w:rsidRPr="00FD5808" w:rsidRDefault="00872A98" w:rsidP="00A5472E">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Moderna - mRNA-1273.11 – 19.1%</w:t>
      </w:r>
      <w:r w:rsidR="008E7D23" w:rsidRPr="00FD5808">
        <w:rPr>
          <w:rFonts w:ascii="Times New Roman" w:hAnsi="Times New Roman" w:cs="Times New Roman"/>
          <w:sz w:val="24"/>
          <w:szCs w:val="24"/>
          <w:lang w:eastAsia="en-GB"/>
        </w:rPr>
        <w:t xml:space="preserve"> (PAHO Unknown)</w:t>
      </w:r>
    </w:p>
    <w:p w14:paraId="69E8299C" w14:textId="4FF5B84E" w:rsidR="00872A98" w:rsidRPr="00FD5808" w:rsidRDefault="00872A98" w:rsidP="00872A98">
      <w:pPr>
        <w:spacing w:line="240" w:lineRule="auto"/>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Barbados:</w:t>
      </w:r>
    </w:p>
    <w:p w14:paraId="7232A1A7"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Vaxzevria</w:t>
      </w:r>
    </w:p>
    <w:p w14:paraId="1B706DD8"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 BBIBP-CorV</w:t>
      </w:r>
    </w:p>
    <w:p w14:paraId="09D9241B"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Pfizer BioNTec,</w:t>
      </w:r>
    </w:p>
    <w:p w14:paraId="20AC58D9" w14:textId="0A043D7C"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Covishield</w:t>
      </w:r>
    </w:p>
    <w:p w14:paraId="5FB76E26" w14:textId="2C2A1900" w:rsidR="00872A98" w:rsidRPr="00FD5808" w:rsidRDefault="00872A98" w:rsidP="00872A98">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Jamaica</w:t>
      </w:r>
    </w:p>
    <w:p w14:paraId="307B4580"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Vaxzevria </w:t>
      </w:r>
    </w:p>
    <w:p w14:paraId="0425FA3F"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Janssen</w:t>
      </w:r>
    </w:p>
    <w:p w14:paraId="59F8D201"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 Pfizer BioNTech,</w:t>
      </w:r>
    </w:p>
    <w:p w14:paraId="660DD117" w14:textId="0C5BC88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Covishield</w:t>
      </w:r>
    </w:p>
    <w:p w14:paraId="38288B5B" w14:textId="0C5CA4A0" w:rsidR="00872A98" w:rsidRPr="00FD5808" w:rsidRDefault="00872A98" w:rsidP="00872A98">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St. Vincent &amp; Grenadines</w:t>
      </w:r>
    </w:p>
    <w:p w14:paraId="75D4530C"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Sputnik V</w:t>
      </w:r>
    </w:p>
    <w:p w14:paraId="6D82FC67"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AZ – Vaxzevria</w:t>
      </w:r>
    </w:p>
    <w:p w14:paraId="5519DDCC"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Pfizer BioNTech </w:t>
      </w:r>
    </w:p>
    <w:p w14:paraId="5C5EC7FB" w14:textId="77777777"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Covishield</w:t>
      </w:r>
    </w:p>
    <w:p w14:paraId="59244678" w14:textId="0538CC5A" w:rsidR="00872A98" w:rsidRPr="00FD5808" w:rsidRDefault="00872A98" w:rsidP="00872A98">
      <w:pPr>
        <w:pStyle w:val="ListParagraph"/>
        <w:numPr>
          <w:ilvl w:val="0"/>
          <w:numId w:val="19"/>
        </w:num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 Moderna. </w:t>
      </w:r>
    </w:p>
    <w:p w14:paraId="46BD2022" w14:textId="78FE58C8" w:rsidR="001A6DE5" w:rsidRPr="00FD5808" w:rsidRDefault="006B6B06" w:rsidP="00872A98">
      <w:pPr>
        <w:pStyle w:val="Heading1"/>
        <w:spacing w:line="240" w:lineRule="auto"/>
        <w:rPr>
          <w:b w:val="0"/>
          <w:shd w:val="clear" w:color="auto" w:fill="FFFFFF"/>
          <w:lang w:val="en-GB"/>
        </w:rPr>
      </w:pPr>
      <w:r>
        <w:rPr>
          <w:b w:val="0"/>
          <w:shd w:val="clear" w:color="auto" w:fill="FFFFFF"/>
          <w:lang w:val="en-GB"/>
        </w:rPr>
        <w:t>Through December 2022,</w:t>
      </w:r>
      <w:r w:rsidR="0095182B" w:rsidRPr="00FD5808">
        <w:rPr>
          <w:b w:val="0"/>
          <w:shd w:val="clear" w:color="auto" w:fill="FFFFFF"/>
          <w:lang w:val="en-GB"/>
        </w:rPr>
        <w:t xml:space="preserve"> the public report on VigiCarib News indicates that the AEFI case reports on VigiBase </w:t>
      </w:r>
      <w:r>
        <w:rPr>
          <w:b w:val="0"/>
          <w:shd w:val="clear" w:color="auto" w:fill="FFFFFF"/>
          <w:lang w:val="en-GB"/>
        </w:rPr>
        <w:t xml:space="preserve">also </w:t>
      </w:r>
      <w:r w:rsidR="0095182B" w:rsidRPr="00FD5808">
        <w:rPr>
          <w:b w:val="0"/>
          <w:shd w:val="clear" w:color="auto" w:fill="FFFFFF"/>
          <w:lang w:val="en-GB"/>
        </w:rPr>
        <w:t>include</w:t>
      </w:r>
      <w:r>
        <w:rPr>
          <w:b w:val="0"/>
          <w:shd w:val="clear" w:color="auto" w:fill="FFFFFF"/>
          <w:lang w:val="en-GB"/>
        </w:rPr>
        <w:t>d</w:t>
      </w:r>
      <w:r w:rsidR="0095182B" w:rsidRPr="00FD5808">
        <w:rPr>
          <w:b w:val="0"/>
          <w:shd w:val="clear" w:color="auto" w:fill="FFFFFF"/>
          <w:lang w:val="en-GB"/>
        </w:rPr>
        <w:t xml:space="preserve"> the </w:t>
      </w:r>
      <w:r>
        <w:rPr>
          <w:b w:val="0"/>
          <w:shd w:val="clear" w:color="auto" w:fill="FFFFFF"/>
          <w:lang w:val="en-GB"/>
        </w:rPr>
        <w:t xml:space="preserve">following </w:t>
      </w:r>
      <w:r w:rsidR="0095182B" w:rsidRPr="00FD5808">
        <w:rPr>
          <w:b w:val="0"/>
          <w:shd w:val="clear" w:color="auto" w:fill="FFFFFF"/>
          <w:lang w:val="en-GB"/>
        </w:rPr>
        <w:t xml:space="preserve">vaccines: NRVV Ad (ChAdOx1-S recombinant) by AstraZeneca or Serum Institute of India (COVISHIELD), Gam-Covid-Vac – Sputnik V, Elasomeran, Tozinameran, JNJ 78436735, HB02 – BIBP-Sinopharm, WIV04 - Sinopharm-Wuhan, and unspecified Covid-19 vaccines, </w:t>
      </w:r>
      <w:r w:rsidR="00FF0A33">
        <w:rPr>
          <w:b w:val="0"/>
          <w:shd w:val="clear" w:color="auto" w:fill="FFFFFF"/>
          <w:lang w:val="en-GB"/>
        </w:rPr>
        <w:t xml:space="preserve">Although </w:t>
      </w:r>
      <w:r w:rsidR="0095182B" w:rsidRPr="00FD5808">
        <w:rPr>
          <w:b w:val="0"/>
          <w:shd w:val="clear" w:color="auto" w:fill="FFFFFF"/>
          <w:lang w:val="en-GB"/>
        </w:rPr>
        <w:t>disaggregated data per vaccines was unavailable</w:t>
      </w:r>
      <w:r w:rsidR="00FF0A33">
        <w:rPr>
          <w:b w:val="0"/>
          <w:shd w:val="clear" w:color="auto" w:fill="FFFFFF"/>
          <w:lang w:val="en-GB"/>
        </w:rPr>
        <w:t>, t</w:t>
      </w:r>
      <w:r w:rsidR="0095182B" w:rsidRPr="00FD5808">
        <w:rPr>
          <w:b w:val="0"/>
          <w:shd w:val="clear" w:color="auto" w:fill="FFFFFF"/>
          <w:lang w:val="en-GB"/>
        </w:rPr>
        <w:t>he list</w:t>
      </w:r>
      <w:r w:rsidR="00A5472E" w:rsidRPr="00FD5808">
        <w:rPr>
          <w:b w:val="0"/>
          <w:shd w:val="clear" w:color="auto" w:fill="FFFFFF"/>
          <w:lang w:val="en-GB"/>
        </w:rPr>
        <w:t xml:space="preserve"> of COVID-19 vaccines that were </w:t>
      </w:r>
      <w:r w:rsidR="0095182B" w:rsidRPr="00FD5808">
        <w:rPr>
          <w:b w:val="0"/>
          <w:shd w:val="clear" w:color="auto" w:fill="FFFFFF"/>
          <w:lang w:val="en-GB"/>
        </w:rPr>
        <w:t xml:space="preserve">listed on the VigiCarib News – December 2022 coincides with those appearing as deployed in the four CARICOM countries. </w:t>
      </w:r>
    </w:p>
    <w:p w14:paraId="3765E2F5" w14:textId="77777777" w:rsidR="00872A98" w:rsidRPr="00FD5808" w:rsidRDefault="00872A98" w:rsidP="00872A98">
      <w:pPr>
        <w:sectPr w:rsidR="00872A98" w:rsidRPr="00FD5808" w:rsidSect="00872A98">
          <w:type w:val="continuous"/>
          <w:pgSz w:w="12240" w:h="15840"/>
          <w:pgMar w:top="1440" w:right="1440" w:bottom="1440" w:left="1440" w:header="720" w:footer="720" w:gutter="0"/>
          <w:cols w:num="2" w:space="720"/>
          <w:docGrid w:linePitch="360"/>
        </w:sectPr>
      </w:pPr>
    </w:p>
    <w:p w14:paraId="36D1AB98" w14:textId="264B721F" w:rsidR="00872A98" w:rsidRPr="00FD5808" w:rsidRDefault="00872A98" w:rsidP="00872A98"/>
    <w:p w14:paraId="55BB2639" w14:textId="5FC94085" w:rsidR="00415C54" w:rsidRPr="00FD5808" w:rsidRDefault="00415C54" w:rsidP="00415C54">
      <w:pPr>
        <w:jc w:val="center"/>
        <w:rPr>
          <w:rFonts w:ascii="Times New Roman" w:hAnsi="Times New Roman" w:cs="Times New Roman"/>
          <w:sz w:val="24"/>
          <w:szCs w:val="24"/>
          <w:lang w:eastAsia="en-GB"/>
        </w:rPr>
      </w:pPr>
      <w:r w:rsidRPr="00FD5808">
        <w:rPr>
          <w:rFonts w:ascii="Times New Roman" w:hAnsi="Times New Roman" w:cs="Times New Roman"/>
          <w:noProof/>
          <w:sz w:val="24"/>
          <w:szCs w:val="24"/>
          <w:lang w:val="en-US"/>
        </w:rPr>
        <w:drawing>
          <wp:inline distT="0" distB="0" distL="0" distR="0" wp14:anchorId="57FEFCE8" wp14:editId="26121427">
            <wp:extent cx="4305300" cy="2118360"/>
            <wp:effectExtent l="0" t="0" r="0" b="15240"/>
            <wp:docPr id="1526337079" name="Chart 1">
              <a:extLst xmlns:a="http://schemas.openxmlformats.org/drawingml/2006/main">
                <a:ext uri="{FF2B5EF4-FFF2-40B4-BE49-F238E27FC236}">
                  <a16:creationId xmlns:a16="http://schemas.microsoft.com/office/drawing/2014/main" id="{D6A3E8E2-7E93-9985-CB50-489DD58AFB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91E9EC" w14:textId="1933EA84" w:rsidR="00415C54" w:rsidRPr="00FD5808" w:rsidRDefault="00415C54" w:rsidP="00415C54">
      <w:pPr>
        <w:jc w:val="center"/>
        <w:rPr>
          <w:rFonts w:ascii="Times New Roman" w:hAnsi="Times New Roman" w:cs="Times New Roman"/>
          <w:color w:val="000000"/>
          <w:sz w:val="24"/>
          <w:szCs w:val="24"/>
        </w:rPr>
      </w:pPr>
      <w:r w:rsidRPr="00FD5808">
        <w:rPr>
          <w:rFonts w:ascii="Times New Roman" w:hAnsi="Times New Roman" w:cs="Times New Roman"/>
          <w:sz w:val="24"/>
          <w:szCs w:val="24"/>
          <w:lang w:eastAsia="en-GB"/>
        </w:rPr>
        <w:t>F</w:t>
      </w:r>
      <w:r w:rsidR="00D05264" w:rsidRPr="00FD5808">
        <w:rPr>
          <w:rFonts w:ascii="Times New Roman" w:hAnsi="Times New Roman" w:cs="Times New Roman"/>
          <w:sz w:val="24"/>
          <w:szCs w:val="24"/>
          <w:lang w:eastAsia="en-GB"/>
        </w:rPr>
        <w:t>igure</w:t>
      </w:r>
      <w:r w:rsidRPr="00FD5808">
        <w:rPr>
          <w:rFonts w:ascii="Times New Roman" w:hAnsi="Times New Roman" w:cs="Times New Roman"/>
          <w:sz w:val="24"/>
          <w:szCs w:val="24"/>
          <w:lang w:eastAsia="en-GB"/>
        </w:rPr>
        <w:t xml:space="preserve"> 1: </w:t>
      </w:r>
      <w:r w:rsidRPr="00FD5808">
        <w:rPr>
          <w:rFonts w:ascii="Times New Roman" w:hAnsi="Times New Roman" w:cs="Times New Roman"/>
          <w:sz w:val="24"/>
          <w:szCs w:val="24"/>
        </w:rPr>
        <w:t xml:space="preserve">Case reports of adverse events following immunization (AEFIs) with COVID-19 vaccines submitted to VigiBase by four CARICOM countries from 1 March 2020 to </w:t>
      </w:r>
      <w:r w:rsidR="002A1D58">
        <w:rPr>
          <w:rFonts w:ascii="Times New Roman" w:hAnsi="Times New Roman" w:cs="Times New Roman"/>
          <w:sz w:val="24"/>
          <w:szCs w:val="24"/>
        </w:rPr>
        <w:t>14 December</w:t>
      </w:r>
      <w:r w:rsidRPr="00FD5808">
        <w:rPr>
          <w:rFonts w:ascii="Times New Roman" w:hAnsi="Times New Roman" w:cs="Times New Roman"/>
          <w:sz w:val="24"/>
          <w:szCs w:val="24"/>
        </w:rPr>
        <w:t xml:space="preserve"> 2022 </w:t>
      </w:r>
      <w:r w:rsidRPr="00FD5808">
        <w:rPr>
          <w:rFonts w:ascii="Times New Roman" w:hAnsi="Times New Roman" w:cs="Times New Roman"/>
          <w:color w:val="000000"/>
          <w:sz w:val="24"/>
          <w:szCs w:val="24"/>
        </w:rPr>
        <w:t>(N = 1,582).</w:t>
      </w:r>
      <w:r w:rsidR="005F2B81" w:rsidRPr="00FD5808">
        <w:rPr>
          <w:rFonts w:ascii="Times New Roman" w:hAnsi="Times New Roman" w:cs="Times New Roman"/>
          <w:color w:val="000000"/>
          <w:sz w:val="24"/>
          <w:szCs w:val="24"/>
        </w:rPr>
        <w:t xml:space="preserve"> (CARPHA, 2022)</w:t>
      </w:r>
    </w:p>
    <w:p w14:paraId="4F394F89" w14:textId="2EF38744" w:rsidR="00415C54" w:rsidRPr="00FD5808" w:rsidRDefault="00415C54" w:rsidP="00415C54">
      <w:pPr>
        <w:jc w:val="center"/>
        <w:rPr>
          <w:rFonts w:ascii="Times New Roman" w:hAnsi="Times New Roman" w:cs="Times New Roman"/>
          <w:color w:val="000000"/>
          <w:sz w:val="24"/>
          <w:szCs w:val="24"/>
        </w:rPr>
      </w:pPr>
    </w:p>
    <w:p w14:paraId="4F990774" w14:textId="741BA694" w:rsidR="00415C54" w:rsidRPr="00FD5808" w:rsidRDefault="00415C54" w:rsidP="00415C54">
      <w:pPr>
        <w:jc w:val="center"/>
        <w:rPr>
          <w:rFonts w:ascii="Times New Roman" w:hAnsi="Times New Roman" w:cs="Times New Roman"/>
          <w:sz w:val="24"/>
          <w:szCs w:val="24"/>
          <w:lang w:eastAsia="en-GB"/>
        </w:rPr>
      </w:pPr>
      <w:r w:rsidRPr="00FD5808">
        <w:rPr>
          <w:rFonts w:ascii="Times New Roman" w:hAnsi="Times New Roman" w:cs="Times New Roman"/>
          <w:noProof/>
          <w:sz w:val="24"/>
          <w:szCs w:val="24"/>
          <w:lang w:val="en-US"/>
        </w:rPr>
        <w:drawing>
          <wp:inline distT="0" distB="0" distL="0" distR="0" wp14:anchorId="0E0DB969" wp14:editId="664C59EB">
            <wp:extent cx="4800600" cy="2676525"/>
            <wp:effectExtent l="0" t="0" r="0" b="9525"/>
            <wp:docPr id="1873624091" name="Chart 1">
              <a:extLst xmlns:a="http://schemas.openxmlformats.org/drawingml/2006/main">
                <a:ext uri="{FF2B5EF4-FFF2-40B4-BE49-F238E27FC236}">
                  <a16:creationId xmlns:a16="http://schemas.microsoft.com/office/drawing/2014/main" id="{DDF238E9-2A3E-3920-844D-15C14028D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C35154" w14:textId="50A0E3E5" w:rsidR="00D05264" w:rsidRPr="00FD5808" w:rsidRDefault="00415C54" w:rsidP="004D35EC">
      <w:pPr>
        <w:jc w:val="center"/>
        <w:rPr>
          <w:rFonts w:ascii="Times New Roman" w:hAnsi="Times New Roman" w:cs="Times New Roman"/>
          <w:sz w:val="24"/>
          <w:szCs w:val="24"/>
        </w:rPr>
        <w:sectPr w:rsidR="00D05264" w:rsidRPr="00FD5808" w:rsidSect="00432439">
          <w:type w:val="continuous"/>
          <w:pgSz w:w="12240" w:h="15840"/>
          <w:pgMar w:top="1440" w:right="1440" w:bottom="1440" w:left="1440" w:header="720" w:footer="720" w:gutter="0"/>
          <w:cols w:space="720"/>
          <w:docGrid w:linePitch="360"/>
        </w:sectPr>
      </w:pPr>
      <w:r w:rsidRPr="00FD5808">
        <w:rPr>
          <w:rFonts w:ascii="Times New Roman" w:hAnsi="Times New Roman" w:cs="Times New Roman"/>
          <w:sz w:val="24"/>
          <w:szCs w:val="24"/>
          <w:lang w:eastAsia="en-GB"/>
        </w:rPr>
        <w:t>Fi</w:t>
      </w:r>
      <w:r w:rsidR="00D05264" w:rsidRPr="00FD5808">
        <w:rPr>
          <w:rFonts w:ascii="Times New Roman" w:hAnsi="Times New Roman" w:cs="Times New Roman"/>
          <w:sz w:val="24"/>
          <w:szCs w:val="24"/>
          <w:lang w:eastAsia="en-GB"/>
        </w:rPr>
        <w:t>gure</w:t>
      </w:r>
      <w:r w:rsidRPr="00FD5808">
        <w:rPr>
          <w:rFonts w:ascii="Times New Roman" w:hAnsi="Times New Roman" w:cs="Times New Roman"/>
          <w:sz w:val="24"/>
          <w:szCs w:val="24"/>
          <w:lang w:eastAsia="en-GB"/>
        </w:rPr>
        <w:t xml:space="preserve"> 2: </w:t>
      </w:r>
      <w:r w:rsidRPr="00FD5808">
        <w:rPr>
          <w:rFonts w:ascii="Times New Roman" w:hAnsi="Times New Roman" w:cs="Times New Roman"/>
          <w:color w:val="000000"/>
          <w:sz w:val="24"/>
          <w:szCs w:val="24"/>
        </w:rPr>
        <w:t xml:space="preserve">Patient </w:t>
      </w:r>
      <w:bookmarkStart w:id="0" w:name="_Hlk144623911"/>
      <w:r w:rsidRPr="00FD5808">
        <w:rPr>
          <w:rFonts w:ascii="Times New Roman" w:hAnsi="Times New Roman" w:cs="Times New Roman"/>
          <w:color w:val="000000"/>
          <w:sz w:val="24"/>
          <w:szCs w:val="24"/>
        </w:rPr>
        <w:t>Age Groups Reported for AEFIs in VigiBase from 1 March 2020 to 1</w:t>
      </w:r>
      <w:r w:rsidR="002A1D58">
        <w:rPr>
          <w:rFonts w:ascii="Times New Roman" w:hAnsi="Times New Roman" w:cs="Times New Roman"/>
          <w:color w:val="000000"/>
          <w:sz w:val="24"/>
          <w:szCs w:val="24"/>
        </w:rPr>
        <w:t>4</w:t>
      </w:r>
      <w:r w:rsidRPr="00FD5808">
        <w:rPr>
          <w:rFonts w:ascii="Times New Roman" w:hAnsi="Times New Roman" w:cs="Times New Roman"/>
          <w:color w:val="000000"/>
          <w:sz w:val="24"/>
          <w:szCs w:val="24"/>
        </w:rPr>
        <w:t xml:space="preserve"> December 2022</w:t>
      </w:r>
      <w:bookmarkEnd w:id="0"/>
      <w:r w:rsidRPr="00FD5808">
        <w:rPr>
          <w:rFonts w:ascii="Times New Roman" w:hAnsi="Times New Roman" w:cs="Times New Roman"/>
          <w:color w:val="000000"/>
          <w:sz w:val="24"/>
          <w:szCs w:val="24"/>
        </w:rPr>
        <w:t xml:space="preserve"> (N = 1,582)</w:t>
      </w:r>
      <w:r w:rsidR="005F2B81" w:rsidRPr="00FD5808">
        <w:rPr>
          <w:rFonts w:ascii="Times New Roman" w:hAnsi="Times New Roman" w:cs="Times New Roman"/>
          <w:color w:val="000000"/>
          <w:sz w:val="24"/>
          <w:szCs w:val="24"/>
        </w:rPr>
        <w:t>. (CARPHA, 2022)</w:t>
      </w:r>
    </w:p>
    <w:p w14:paraId="6119C7F4" w14:textId="3F7CE8BE" w:rsidR="004F6153" w:rsidRPr="00FD5808" w:rsidRDefault="00D05264" w:rsidP="00E66FFE">
      <w:pPr>
        <w:pStyle w:val="NoSpacing"/>
        <w:jc w:val="both"/>
        <w:rPr>
          <w:rFonts w:cs="Times New Roman"/>
          <w:szCs w:val="24"/>
          <w:lang w:val="en-GB"/>
        </w:rPr>
      </w:pPr>
      <w:r w:rsidRPr="00FD5808">
        <w:rPr>
          <w:rFonts w:cs="Times New Roman"/>
          <w:szCs w:val="24"/>
          <w:lang w:val="en-GB"/>
        </w:rPr>
        <w:t>Out of the 1,582 case reports (Figure 1), most were non-serious events involving persons under 65 years (84.9%) and females (74.1%). The top age groups reported for AEFIs in VigiBase from 1 March 2020 to 14 December 2022 were 18-44 years (46.6%), followed by 45-64 years (Figure 2). This may be attributed to the increase</w:t>
      </w:r>
      <w:r w:rsidR="00FF0A33">
        <w:rPr>
          <w:rFonts w:cs="Times New Roman"/>
          <w:szCs w:val="24"/>
          <w:lang w:val="en-GB"/>
        </w:rPr>
        <w:t>d administration of</w:t>
      </w:r>
      <w:r w:rsidRPr="00FD5808">
        <w:rPr>
          <w:rFonts w:cs="Times New Roman"/>
          <w:szCs w:val="24"/>
          <w:lang w:val="en-GB"/>
        </w:rPr>
        <w:t xml:space="preserve"> </w:t>
      </w:r>
      <w:r w:rsidR="00FF0A33">
        <w:rPr>
          <w:rFonts w:cs="Times New Roman"/>
          <w:szCs w:val="24"/>
          <w:lang w:val="en-GB"/>
        </w:rPr>
        <w:t>the</w:t>
      </w:r>
      <w:r w:rsidRPr="00FD5808">
        <w:rPr>
          <w:rFonts w:cs="Times New Roman"/>
          <w:szCs w:val="24"/>
          <w:lang w:val="en-GB"/>
        </w:rPr>
        <w:t xml:space="preserve"> COVID-19 immunization in these populations, although older adults were the high priority-use groups to d</w:t>
      </w:r>
      <w:r w:rsidR="004F6153" w:rsidRPr="00FD5808">
        <w:rPr>
          <w:rFonts w:cs="Times New Roman"/>
          <w:szCs w:val="24"/>
          <w:lang w:val="en-GB"/>
        </w:rPr>
        <w:t>ecrease death and severe diseases.</w:t>
      </w:r>
    </w:p>
    <w:p w14:paraId="241B39B1" w14:textId="77777777" w:rsidR="00E66FFE" w:rsidRPr="00FD5808" w:rsidRDefault="00E66FFE" w:rsidP="00D05264">
      <w:pPr>
        <w:pStyle w:val="NoSpacing"/>
        <w:spacing w:line="360" w:lineRule="auto"/>
        <w:jc w:val="both"/>
        <w:rPr>
          <w:rFonts w:cs="Times New Roman"/>
          <w:szCs w:val="24"/>
          <w:lang w:val="en-GB"/>
        </w:rPr>
        <w:sectPr w:rsidR="00E66FFE" w:rsidRPr="00FD5808" w:rsidSect="00432439">
          <w:type w:val="continuous"/>
          <w:pgSz w:w="12240" w:h="15840"/>
          <w:pgMar w:top="1440" w:right="1440" w:bottom="1440" w:left="1440" w:header="720" w:footer="720" w:gutter="0"/>
          <w:cols w:num="2" w:space="720"/>
          <w:docGrid w:linePitch="360"/>
        </w:sectPr>
      </w:pPr>
    </w:p>
    <w:p w14:paraId="6FD94ED1" w14:textId="77777777" w:rsidR="004F6653" w:rsidRPr="00FD5808" w:rsidRDefault="004F6653" w:rsidP="002116AC">
      <w:pPr>
        <w:jc w:val="center"/>
        <w:rPr>
          <w:rFonts w:ascii="Times New Roman" w:hAnsi="Times New Roman" w:cs="Times New Roman"/>
          <w:sz w:val="24"/>
          <w:szCs w:val="24"/>
          <w:lang w:eastAsia="en-GB"/>
        </w:rPr>
      </w:pPr>
    </w:p>
    <w:p w14:paraId="1B48A2C4" w14:textId="1F68376A" w:rsidR="00967C1B" w:rsidRPr="00FD5808" w:rsidRDefault="00967C1B" w:rsidP="002116AC">
      <w:pPr>
        <w:jc w:val="center"/>
        <w:rPr>
          <w:rFonts w:ascii="Times New Roman" w:hAnsi="Times New Roman" w:cs="Times New Roman"/>
          <w:color w:val="000000"/>
          <w:sz w:val="24"/>
          <w:szCs w:val="24"/>
        </w:rPr>
      </w:pPr>
      <w:r w:rsidRPr="00FD5808">
        <w:rPr>
          <w:rFonts w:ascii="Times New Roman" w:hAnsi="Times New Roman" w:cs="Times New Roman"/>
          <w:sz w:val="24"/>
          <w:szCs w:val="24"/>
          <w:lang w:eastAsia="en-GB"/>
        </w:rPr>
        <w:t xml:space="preserve">Table </w:t>
      </w:r>
      <w:r w:rsidR="002116AC" w:rsidRPr="00FD5808">
        <w:rPr>
          <w:rFonts w:ascii="Times New Roman" w:hAnsi="Times New Roman" w:cs="Times New Roman"/>
          <w:sz w:val="24"/>
          <w:szCs w:val="24"/>
          <w:lang w:eastAsia="en-GB"/>
        </w:rPr>
        <w:t>2</w:t>
      </w:r>
      <w:r w:rsidRPr="00FD5808">
        <w:rPr>
          <w:rFonts w:ascii="Times New Roman" w:hAnsi="Times New Roman" w:cs="Times New Roman"/>
          <w:sz w:val="24"/>
          <w:szCs w:val="24"/>
          <w:lang w:eastAsia="en-GB"/>
        </w:rPr>
        <w:t xml:space="preserve"> - </w:t>
      </w:r>
      <w:r w:rsidRPr="00FD5808">
        <w:rPr>
          <w:rFonts w:ascii="Times New Roman" w:hAnsi="Times New Roman" w:cs="Times New Roman"/>
          <w:sz w:val="24"/>
          <w:szCs w:val="24"/>
        </w:rPr>
        <w:t xml:space="preserve">Top Reported Reactions by MedDRA preferred term </w:t>
      </w:r>
      <w:r w:rsidRPr="00FD5808">
        <w:rPr>
          <w:rFonts w:ascii="Times New Roman" w:hAnsi="Times New Roman" w:cs="Times New Roman"/>
          <w:color w:val="000000"/>
          <w:sz w:val="24"/>
          <w:szCs w:val="24"/>
        </w:rPr>
        <w:t>in VigiBase from 1 March 2020 to 14 December 2022 (N = 1,582)</w:t>
      </w:r>
      <w:r w:rsidR="005F2B81" w:rsidRPr="00FD5808">
        <w:rPr>
          <w:rFonts w:ascii="Times New Roman" w:hAnsi="Times New Roman" w:cs="Times New Roman"/>
          <w:color w:val="000000"/>
          <w:sz w:val="24"/>
          <w:szCs w:val="24"/>
        </w:rPr>
        <w:t>. (CARPHA, 2022)</w:t>
      </w:r>
    </w:p>
    <w:tbl>
      <w:tblPr>
        <w:tblStyle w:val="GridTable4"/>
        <w:tblW w:w="7952" w:type="dxa"/>
        <w:jc w:val="center"/>
        <w:tblLook w:val="04A0" w:firstRow="1" w:lastRow="0" w:firstColumn="1" w:lastColumn="0" w:noHBand="0" w:noVBand="1"/>
      </w:tblPr>
      <w:tblGrid>
        <w:gridCol w:w="5080"/>
        <w:gridCol w:w="1103"/>
        <w:gridCol w:w="1769"/>
      </w:tblGrid>
      <w:tr w:rsidR="00967C1B" w:rsidRPr="00FD5808" w14:paraId="077C7E07" w14:textId="77777777" w:rsidTr="000B1D9C">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C9A3AEC" w14:textId="77777777" w:rsidR="00967C1B" w:rsidRPr="000B1D9C" w:rsidRDefault="00967C1B" w:rsidP="008B5D7F">
            <w:pPr>
              <w:rPr>
                <w:rFonts w:ascii="Times New Roman" w:eastAsia="Times New Roman" w:hAnsi="Times New Roman" w:cs="Times New Roman"/>
                <w:sz w:val="24"/>
                <w:szCs w:val="24"/>
              </w:rPr>
            </w:pPr>
            <w:bookmarkStart w:id="1" w:name="_Hlk143955938"/>
            <w:r w:rsidRPr="000B1D9C">
              <w:rPr>
                <w:rFonts w:ascii="Times New Roman" w:eastAsia="Times New Roman" w:hAnsi="Times New Roman" w:cs="Times New Roman"/>
                <w:color w:val="auto"/>
                <w:sz w:val="24"/>
                <w:szCs w:val="24"/>
              </w:rPr>
              <w:t>Top Reported Reactions by MedDRA preferred term</w:t>
            </w:r>
            <w:bookmarkEnd w:id="1"/>
          </w:p>
        </w:tc>
        <w:tc>
          <w:tcPr>
            <w:tcW w:w="1103" w:type="dxa"/>
            <w:noWrap/>
            <w:hideMark/>
          </w:tcPr>
          <w:p w14:paraId="73D35350" w14:textId="77777777" w:rsidR="00967C1B" w:rsidRPr="000B1D9C" w:rsidRDefault="00967C1B" w:rsidP="008B5D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1D9C">
              <w:rPr>
                <w:rFonts w:ascii="Times New Roman" w:eastAsia="Times New Roman" w:hAnsi="Times New Roman" w:cs="Times New Roman"/>
                <w:color w:val="auto"/>
                <w:sz w:val="24"/>
                <w:szCs w:val="24"/>
              </w:rPr>
              <w:t>Count</w:t>
            </w:r>
          </w:p>
        </w:tc>
        <w:tc>
          <w:tcPr>
            <w:tcW w:w="1769" w:type="dxa"/>
            <w:noWrap/>
            <w:hideMark/>
          </w:tcPr>
          <w:p w14:paraId="0D300D57" w14:textId="77777777" w:rsidR="00967C1B" w:rsidRPr="000B1D9C" w:rsidRDefault="00967C1B" w:rsidP="008B5D7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B1D9C">
              <w:rPr>
                <w:rFonts w:ascii="Times New Roman" w:eastAsia="Times New Roman" w:hAnsi="Times New Roman" w:cs="Times New Roman"/>
                <w:color w:val="auto"/>
                <w:sz w:val="24"/>
                <w:szCs w:val="24"/>
              </w:rPr>
              <w:t>Percentage (%)</w:t>
            </w:r>
          </w:p>
        </w:tc>
      </w:tr>
      <w:tr w:rsidR="00967C1B" w:rsidRPr="00FD5808" w14:paraId="542C55F4" w14:textId="77777777" w:rsidTr="000B1D9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DFB8797"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 xml:space="preserve">Headache </w:t>
            </w:r>
          </w:p>
        </w:tc>
        <w:tc>
          <w:tcPr>
            <w:tcW w:w="1103" w:type="dxa"/>
            <w:noWrap/>
            <w:hideMark/>
          </w:tcPr>
          <w:p w14:paraId="458D9CC6"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463</w:t>
            </w:r>
          </w:p>
        </w:tc>
        <w:tc>
          <w:tcPr>
            <w:tcW w:w="1769" w:type="dxa"/>
            <w:noWrap/>
            <w:hideMark/>
          </w:tcPr>
          <w:p w14:paraId="64C42780"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29.3</w:t>
            </w:r>
          </w:p>
        </w:tc>
      </w:tr>
      <w:tr w:rsidR="00967C1B" w:rsidRPr="00FD5808" w14:paraId="55B6E633" w14:textId="77777777" w:rsidTr="000B1D9C">
        <w:trPr>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3EA6687"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Pyrexia</w:t>
            </w:r>
          </w:p>
        </w:tc>
        <w:tc>
          <w:tcPr>
            <w:tcW w:w="1103" w:type="dxa"/>
            <w:noWrap/>
            <w:hideMark/>
          </w:tcPr>
          <w:p w14:paraId="126C30AC"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306</w:t>
            </w:r>
          </w:p>
        </w:tc>
        <w:tc>
          <w:tcPr>
            <w:tcW w:w="1769" w:type="dxa"/>
            <w:noWrap/>
            <w:hideMark/>
          </w:tcPr>
          <w:p w14:paraId="5B93F1FA"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19.3</w:t>
            </w:r>
          </w:p>
        </w:tc>
      </w:tr>
      <w:tr w:rsidR="00967C1B" w:rsidRPr="00FD5808" w14:paraId="030E2CE4" w14:textId="77777777" w:rsidTr="000B1D9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64AA1F52"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Dizziness</w:t>
            </w:r>
          </w:p>
        </w:tc>
        <w:tc>
          <w:tcPr>
            <w:tcW w:w="1103" w:type="dxa"/>
            <w:noWrap/>
            <w:hideMark/>
          </w:tcPr>
          <w:p w14:paraId="6D808319"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305</w:t>
            </w:r>
          </w:p>
        </w:tc>
        <w:tc>
          <w:tcPr>
            <w:tcW w:w="1769" w:type="dxa"/>
            <w:noWrap/>
            <w:hideMark/>
          </w:tcPr>
          <w:p w14:paraId="76324F03"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19.3</w:t>
            </w:r>
          </w:p>
        </w:tc>
      </w:tr>
      <w:tr w:rsidR="00967C1B" w:rsidRPr="00FD5808" w14:paraId="15328FE7" w14:textId="77777777" w:rsidTr="000B1D9C">
        <w:trPr>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51DCD19D"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Fatigue</w:t>
            </w:r>
          </w:p>
        </w:tc>
        <w:tc>
          <w:tcPr>
            <w:tcW w:w="1103" w:type="dxa"/>
            <w:noWrap/>
            <w:hideMark/>
          </w:tcPr>
          <w:p w14:paraId="1F624304"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250</w:t>
            </w:r>
          </w:p>
        </w:tc>
        <w:tc>
          <w:tcPr>
            <w:tcW w:w="1769" w:type="dxa"/>
            <w:noWrap/>
            <w:hideMark/>
          </w:tcPr>
          <w:p w14:paraId="17B1A5CE"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15.8</w:t>
            </w:r>
          </w:p>
        </w:tc>
      </w:tr>
      <w:tr w:rsidR="00967C1B" w:rsidRPr="00FD5808" w14:paraId="2CF40901" w14:textId="77777777" w:rsidTr="000B1D9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4FC75002"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Chills</w:t>
            </w:r>
          </w:p>
        </w:tc>
        <w:tc>
          <w:tcPr>
            <w:tcW w:w="1103" w:type="dxa"/>
            <w:noWrap/>
            <w:hideMark/>
          </w:tcPr>
          <w:p w14:paraId="2C553452"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244</w:t>
            </w:r>
          </w:p>
        </w:tc>
        <w:tc>
          <w:tcPr>
            <w:tcW w:w="1769" w:type="dxa"/>
            <w:noWrap/>
            <w:hideMark/>
          </w:tcPr>
          <w:p w14:paraId="5BC4EE3A"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15.4</w:t>
            </w:r>
          </w:p>
        </w:tc>
      </w:tr>
      <w:tr w:rsidR="00967C1B" w:rsidRPr="00FD5808" w14:paraId="3561A7C6" w14:textId="77777777" w:rsidTr="000B1D9C">
        <w:trPr>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90A2E5A"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Myalgia</w:t>
            </w:r>
          </w:p>
        </w:tc>
        <w:tc>
          <w:tcPr>
            <w:tcW w:w="1103" w:type="dxa"/>
            <w:noWrap/>
            <w:hideMark/>
          </w:tcPr>
          <w:p w14:paraId="06A0F503"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224</w:t>
            </w:r>
          </w:p>
        </w:tc>
        <w:tc>
          <w:tcPr>
            <w:tcW w:w="1769" w:type="dxa"/>
            <w:noWrap/>
            <w:hideMark/>
          </w:tcPr>
          <w:p w14:paraId="67E41E0C"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14.2</w:t>
            </w:r>
          </w:p>
        </w:tc>
      </w:tr>
      <w:tr w:rsidR="00967C1B" w:rsidRPr="00FD5808" w14:paraId="6378C0FE" w14:textId="77777777" w:rsidTr="000B1D9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7E6E229B"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Arthralgia</w:t>
            </w:r>
          </w:p>
        </w:tc>
        <w:tc>
          <w:tcPr>
            <w:tcW w:w="1103" w:type="dxa"/>
            <w:noWrap/>
            <w:hideMark/>
          </w:tcPr>
          <w:p w14:paraId="62327FAE"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211</w:t>
            </w:r>
          </w:p>
        </w:tc>
        <w:tc>
          <w:tcPr>
            <w:tcW w:w="1769" w:type="dxa"/>
            <w:noWrap/>
            <w:hideMark/>
          </w:tcPr>
          <w:p w14:paraId="46591B4A"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13.3</w:t>
            </w:r>
          </w:p>
        </w:tc>
      </w:tr>
      <w:tr w:rsidR="00967C1B" w:rsidRPr="00FD5808" w14:paraId="075A9102" w14:textId="77777777" w:rsidTr="000B1D9C">
        <w:trPr>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2A90CBAF"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Nausea</w:t>
            </w:r>
          </w:p>
        </w:tc>
        <w:tc>
          <w:tcPr>
            <w:tcW w:w="1103" w:type="dxa"/>
            <w:noWrap/>
            <w:hideMark/>
          </w:tcPr>
          <w:p w14:paraId="0FE2B246"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178</w:t>
            </w:r>
          </w:p>
        </w:tc>
        <w:tc>
          <w:tcPr>
            <w:tcW w:w="1769" w:type="dxa"/>
            <w:noWrap/>
            <w:hideMark/>
          </w:tcPr>
          <w:p w14:paraId="06DDD5AA"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11.3</w:t>
            </w:r>
          </w:p>
        </w:tc>
      </w:tr>
      <w:tr w:rsidR="00967C1B" w:rsidRPr="00FD5808" w14:paraId="0B3BB257" w14:textId="77777777" w:rsidTr="000B1D9C">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3879C0AF"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Vaccination site pain</w:t>
            </w:r>
          </w:p>
        </w:tc>
        <w:tc>
          <w:tcPr>
            <w:tcW w:w="1103" w:type="dxa"/>
            <w:noWrap/>
            <w:hideMark/>
          </w:tcPr>
          <w:p w14:paraId="31E1D3F0"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161</w:t>
            </w:r>
          </w:p>
        </w:tc>
        <w:tc>
          <w:tcPr>
            <w:tcW w:w="1769" w:type="dxa"/>
            <w:noWrap/>
            <w:hideMark/>
          </w:tcPr>
          <w:p w14:paraId="3F8C7A46" w14:textId="77777777" w:rsidR="00967C1B" w:rsidRPr="00FD5808" w:rsidRDefault="00967C1B" w:rsidP="008B5D7F">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10.2</w:t>
            </w:r>
          </w:p>
        </w:tc>
      </w:tr>
      <w:tr w:rsidR="00967C1B" w:rsidRPr="00FD5808" w14:paraId="324A0EC1" w14:textId="77777777" w:rsidTr="000B1D9C">
        <w:trPr>
          <w:trHeight w:val="296"/>
          <w:jc w:val="center"/>
        </w:trPr>
        <w:tc>
          <w:tcPr>
            <w:cnfStyle w:val="001000000000" w:firstRow="0" w:lastRow="0" w:firstColumn="1" w:lastColumn="0" w:oddVBand="0" w:evenVBand="0" w:oddHBand="0" w:evenHBand="0" w:firstRowFirstColumn="0" w:firstRowLastColumn="0" w:lastRowFirstColumn="0" w:lastRowLastColumn="0"/>
            <w:tcW w:w="5080" w:type="dxa"/>
            <w:noWrap/>
            <w:hideMark/>
          </w:tcPr>
          <w:p w14:paraId="0C355E18" w14:textId="77777777" w:rsidR="00967C1B" w:rsidRPr="00FD5808" w:rsidRDefault="00967C1B" w:rsidP="008B5D7F">
            <w:pPr>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Malaise</w:t>
            </w:r>
          </w:p>
        </w:tc>
        <w:tc>
          <w:tcPr>
            <w:tcW w:w="1103" w:type="dxa"/>
            <w:noWrap/>
            <w:hideMark/>
          </w:tcPr>
          <w:p w14:paraId="766771D1"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150</w:t>
            </w:r>
          </w:p>
        </w:tc>
        <w:tc>
          <w:tcPr>
            <w:tcW w:w="1769" w:type="dxa"/>
            <w:noWrap/>
            <w:hideMark/>
          </w:tcPr>
          <w:p w14:paraId="79865A7B" w14:textId="77777777" w:rsidR="00967C1B" w:rsidRPr="00FD5808" w:rsidRDefault="00967C1B" w:rsidP="008B5D7F">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D5808">
              <w:rPr>
                <w:rFonts w:ascii="Times New Roman" w:eastAsia="Times New Roman" w:hAnsi="Times New Roman" w:cs="Times New Roman"/>
                <w:color w:val="000000"/>
                <w:sz w:val="24"/>
                <w:szCs w:val="24"/>
              </w:rPr>
              <w:t>9.5</w:t>
            </w:r>
          </w:p>
        </w:tc>
      </w:tr>
    </w:tbl>
    <w:p w14:paraId="21114699" w14:textId="77777777" w:rsidR="00967C1B" w:rsidRPr="00FD5808" w:rsidRDefault="00967C1B" w:rsidP="00D05264">
      <w:pPr>
        <w:pStyle w:val="NoSpacing"/>
        <w:spacing w:line="360" w:lineRule="auto"/>
        <w:jc w:val="both"/>
        <w:rPr>
          <w:rFonts w:cs="Times New Roman"/>
          <w:szCs w:val="24"/>
          <w:lang w:val="en-GB"/>
        </w:rPr>
        <w:sectPr w:rsidR="00967C1B" w:rsidRPr="00FD5808" w:rsidSect="00432439">
          <w:type w:val="continuous"/>
          <w:pgSz w:w="12240" w:h="15840"/>
          <w:pgMar w:top="1440" w:right="1440" w:bottom="1440" w:left="1440" w:header="720" w:footer="720" w:gutter="0"/>
          <w:cols w:space="720"/>
          <w:docGrid w:linePitch="360"/>
        </w:sectPr>
      </w:pPr>
    </w:p>
    <w:p w14:paraId="62C94D4A" w14:textId="61837690" w:rsidR="00DF09BE" w:rsidRPr="00FD5808" w:rsidRDefault="00967C1B" w:rsidP="00372828">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 most frequently reported reactions in the four selected CARICOM countries were headache 29.3%, pyrexia 19.3%, and dizziness 19.3% (Table </w:t>
      </w:r>
      <w:r w:rsidR="006F3690" w:rsidRPr="00FD5808">
        <w:rPr>
          <w:rFonts w:ascii="Times New Roman" w:hAnsi="Times New Roman" w:cs="Times New Roman"/>
          <w:sz w:val="24"/>
          <w:szCs w:val="24"/>
          <w:lang w:eastAsia="en-GB"/>
        </w:rPr>
        <w:t>2</w:t>
      </w:r>
      <w:r w:rsidRPr="00FD5808">
        <w:rPr>
          <w:rFonts w:ascii="Times New Roman" w:hAnsi="Times New Roman" w:cs="Times New Roman"/>
          <w:sz w:val="24"/>
          <w:szCs w:val="24"/>
          <w:lang w:eastAsia="en-GB"/>
        </w:rPr>
        <w:t xml:space="preserve">). In a study conducted by Ogar et al., based on VigiBase COVID-19 AEFI data for Africa, general disorders and administration site </w:t>
      </w:r>
      <w:r w:rsidR="00FF0A33">
        <w:rPr>
          <w:rFonts w:ascii="Times New Roman" w:hAnsi="Times New Roman" w:cs="Times New Roman"/>
          <w:sz w:val="24"/>
          <w:szCs w:val="24"/>
          <w:lang w:eastAsia="en-GB"/>
        </w:rPr>
        <w:t xml:space="preserve">pain </w:t>
      </w:r>
      <w:r w:rsidRPr="00FD5808">
        <w:rPr>
          <w:rFonts w:ascii="Times New Roman" w:hAnsi="Times New Roman" w:cs="Times New Roman"/>
          <w:sz w:val="24"/>
          <w:szCs w:val="24"/>
          <w:lang w:eastAsia="en-GB"/>
        </w:rPr>
        <w:t xml:space="preserve">were the most frequently associated system organ class (SOC), at 34.7% and for the rest of the world at 26.5%. Headache was the most frequently reported adverse event, followed by pyrexia, </w:t>
      </w:r>
      <w:r w:rsidR="002A1D58">
        <w:rPr>
          <w:rFonts w:ascii="Times New Roman" w:hAnsi="Times New Roman" w:cs="Times New Roman"/>
          <w:sz w:val="24"/>
          <w:szCs w:val="24"/>
          <w:lang w:eastAsia="en-GB"/>
        </w:rPr>
        <w:t xml:space="preserve">and </w:t>
      </w:r>
      <w:r w:rsidRPr="00FD5808">
        <w:rPr>
          <w:rFonts w:ascii="Times New Roman" w:hAnsi="Times New Roman" w:cs="Times New Roman"/>
          <w:sz w:val="24"/>
          <w:szCs w:val="24"/>
          <w:lang w:eastAsia="en-GB"/>
        </w:rPr>
        <w:t>injection site pain. For the rest of the world, the most common adverse events included chills, headache, and dizziness.</w:t>
      </w:r>
      <w:r w:rsidR="00D24C99" w:rsidRPr="00FD5808">
        <w:rPr>
          <w:rFonts w:ascii="Times New Roman" w:hAnsi="Times New Roman" w:cs="Times New Roman"/>
          <w:sz w:val="24"/>
          <w:szCs w:val="24"/>
          <w:lang w:eastAsia="en-GB"/>
        </w:rPr>
        <w:t xml:space="preserve"> (</w:t>
      </w:r>
      <w:r w:rsidR="00BB5730" w:rsidRPr="00FD5808">
        <w:rPr>
          <w:rFonts w:ascii="Times New Roman" w:hAnsi="Times New Roman" w:cs="Times New Roman"/>
          <w:sz w:val="24"/>
          <w:szCs w:val="24"/>
          <w:lang w:eastAsia="en-GB"/>
        </w:rPr>
        <w:t>Ogar et al.</w:t>
      </w:r>
      <w:r w:rsidR="00E25F44">
        <w:rPr>
          <w:rFonts w:ascii="Times New Roman" w:hAnsi="Times New Roman" w:cs="Times New Roman"/>
          <w:sz w:val="24"/>
          <w:szCs w:val="24"/>
          <w:lang w:eastAsia="en-GB"/>
        </w:rPr>
        <w:t>, 2023</w:t>
      </w:r>
      <w:r w:rsidR="00D24C99" w:rsidRPr="00FD580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In </w:t>
      </w:r>
      <w:r w:rsidR="00E25F44">
        <w:rPr>
          <w:rFonts w:ascii="Times New Roman" w:hAnsi="Times New Roman" w:cs="Times New Roman"/>
          <w:sz w:val="24"/>
          <w:szCs w:val="24"/>
          <w:lang w:eastAsia="en-GB"/>
        </w:rPr>
        <w:t>the same study</w:t>
      </w:r>
      <w:r w:rsidRPr="00FD5808">
        <w:rPr>
          <w:rFonts w:ascii="Times New Roman" w:hAnsi="Times New Roman" w:cs="Times New Roman"/>
          <w:sz w:val="24"/>
          <w:szCs w:val="24"/>
          <w:lang w:eastAsia="en-GB"/>
        </w:rPr>
        <w:t>, the most reported AEFIs were fatigue, headache</w:t>
      </w:r>
      <w:r w:rsidR="002A1D5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and malaise. The most frequently reported reactions identified in the selected CARICOM countries also appear to be similar to those reported by other regions of the world. </w:t>
      </w:r>
    </w:p>
    <w:p w14:paraId="1649C940" w14:textId="77777777" w:rsidR="004F6653" w:rsidRPr="00FD5808" w:rsidRDefault="004F6653" w:rsidP="00372828">
      <w:pPr>
        <w:rPr>
          <w:rFonts w:ascii="Times New Roman" w:hAnsi="Times New Roman" w:cs="Times New Roman"/>
          <w:sz w:val="24"/>
          <w:szCs w:val="24"/>
          <w:lang w:eastAsia="en-GB"/>
        </w:rPr>
        <w:sectPr w:rsidR="004F6653" w:rsidRPr="00FD5808" w:rsidSect="00432439">
          <w:type w:val="continuous"/>
          <w:pgSz w:w="12240" w:h="15840"/>
          <w:pgMar w:top="1440" w:right="1440" w:bottom="1440" w:left="1440" w:header="720" w:footer="720" w:gutter="0"/>
          <w:cols w:num="2" w:space="720"/>
          <w:docGrid w:linePitch="360"/>
        </w:sectPr>
      </w:pPr>
    </w:p>
    <w:p w14:paraId="3AEDC976" w14:textId="77777777" w:rsidR="00FF0A33" w:rsidRDefault="00FF0A33" w:rsidP="00372828">
      <w:pPr>
        <w:rPr>
          <w:rFonts w:ascii="Times New Roman" w:hAnsi="Times New Roman" w:cs="Times New Roman"/>
          <w:sz w:val="24"/>
          <w:szCs w:val="24"/>
          <w:lang w:eastAsia="en-GB"/>
        </w:rPr>
      </w:pPr>
    </w:p>
    <w:p w14:paraId="1B6F93F6" w14:textId="211E465E" w:rsidR="004F6653" w:rsidRPr="00FD5808" w:rsidRDefault="004F6653" w:rsidP="000B1D9C">
      <w:pPr>
        <w:jc w:val="center"/>
        <w:rPr>
          <w:rFonts w:ascii="Times New Roman" w:hAnsi="Times New Roman" w:cs="Times New Roman"/>
          <w:sz w:val="24"/>
          <w:szCs w:val="24"/>
          <w:lang w:eastAsia="en-GB"/>
        </w:rPr>
      </w:pPr>
      <w:r w:rsidRPr="00FD5808">
        <w:rPr>
          <w:rFonts w:ascii="Times New Roman" w:hAnsi="Times New Roman" w:cs="Times New Roman"/>
          <w:sz w:val="24"/>
          <w:szCs w:val="24"/>
          <w:lang w:eastAsia="en-GB"/>
        </w:rPr>
        <w:t>Table 4: AEFIs per 100000 deaths</w:t>
      </w:r>
    </w:p>
    <w:tbl>
      <w:tblPr>
        <w:tblStyle w:val="GridTable4"/>
        <w:tblW w:w="0" w:type="auto"/>
        <w:jc w:val="center"/>
        <w:tblLook w:val="04A0" w:firstRow="1" w:lastRow="0" w:firstColumn="1" w:lastColumn="0" w:noHBand="0" w:noVBand="1"/>
      </w:tblPr>
      <w:tblGrid>
        <w:gridCol w:w="2337"/>
        <w:gridCol w:w="2337"/>
        <w:gridCol w:w="2338"/>
        <w:gridCol w:w="2338"/>
      </w:tblGrid>
      <w:tr w:rsidR="004F6653" w:rsidRPr="00FD5808" w14:paraId="5B45AA4D" w14:textId="77777777" w:rsidTr="000B1D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5EB47A94" w14:textId="77777777" w:rsidR="004F6653" w:rsidRPr="00FD5808" w:rsidRDefault="004F6653" w:rsidP="008B5D7F">
            <w:pPr>
              <w:rPr>
                <w:rFonts w:ascii="Times New Roman" w:hAnsi="Times New Roman" w:cs="Times New Roman"/>
                <w:sz w:val="24"/>
                <w:szCs w:val="24"/>
              </w:rPr>
            </w:pPr>
            <w:r w:rsidRPr="00FD5808">
              <w:rPr>
                <w:rFonts w:ascii="Times New Roman" w:hAnsi="Times New Roman" w:cs="Times New Roman"/>
                <w:sz w:val="24"/>
                <w:szCs w:val="24"/>
              </w:rPr>
              <w:t>Region</w:t>
            </w:r>
          </w:p>
        </w:tc>
        <w:tc>
          <w:tcPr>
            <w:tcW w:w="2337" w:type="dxa"/>
          </w:tcPr>
          <w:p w14:paraId="4CCF5628" w14:textId="77777777" w:rsidR="004F6653" w:rsidRPr="00FD5808" w:rsidRDefault="004F6653" w:rsidP="008B5D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Non-Serious AEFIs</w:t>
            </w:r>
          </w:p>
        </w:tc>
        <w:tc>
          <w:tcPr>
            <w:tcW w:w="2338" w:type="dxa"/>
          </w:tcPr>
          <w:p w14:paraId="492926EE" w14:textId="77777777" w:rsidR="004F6653" w:rsidRPr="00FD5808" w:rsidRDefault="004F6653" w:rsidP="008B5D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Serious AEFIs</w:t>
            </w:r>
          </w:p>
        </w:tc>
        <w:tc>
          <w:tcPr>
            <w:tcW w:w="2338" w:type="dxa"/>
          </w:tcPr>
          <w:p w14:paraId="4AC74F9A" w14:textId="77777777" w:rsidR="004F6653" w:rsidRPr="00FD5808" w:rsidRDefault="004F6653" w:rsidP="008B5D7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Death</w:t>
            </w:r>
          </w:p>
        </w:tc>
      </w:tr>
      <w:tr w:rsidR="004F6653" w:rsidRPr="00FD5808" w14:paraId="3B417C13" w14:textId="77777777" w:rsidTr="000B1D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1AA32045" w14:textId="77777777" w:rsidR="004F6653" w:rsidRPr="00FD5808" w:rsidRDefault="004F6653" w:rsidP="008B5D7F">
            <w:pPr>
              <w:rPr>
                <w:rFonts w:ascii="Times New Roman" w:hAnsi="Times New Roman" w:cs="Times New Roman"/>
                <w:sz w:val="24"/>
                <w:szCs w:val="24"/>
              </w:rPr>
            </w:pPr>
            <w:r w:rsidRPr="00FD5808">
              <w:rPr>
                <w:rFonts w:ascii="Times New Roman" w:hAnsi="Times New Roman" w:cs="Times New Roman"/>
                <w:sz w:val="24"/>
                <w:szCs w:val="24"/>
              </w:rPr>
              <w:t>CARICOM</w:t>
            </w:r>
          </w:p>
        </w:tc>
        <w:tc>
          <w:tcPr>
            <w:tcW w:w="2337" w:type="dxa"/>
          </w:tcPr>
          <w:p w14:paraId="7F19B7CD" w14:textId="77777777"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64.1</w:t>
            </w:r>
          </w:p>
        </w:tc>
        <w:tc>
          <w:tcPr>
            <w:tcW w:w="2338" w:type="dxa"/>
          </w:tcPr>
          <w:p w14:paraId="18AD3148" w14:textId="77777777"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12.2</w:t>
            </w:r>
          </w:p>
        </w:tc>
        <w:tc>
          <w:tcPr>
            <w:tcW w:w="2338" w:type="dxa"/>
          </w:tcPr>
          <w:p w14:paraId="474849BC" w14:textId="5102C356"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N/</w:t>
            </w:r>
            <w:r w:rsidR="005F2B81" w:rsidRPr="00FD5808">
              <w:rPr>
                <w:rFonts w:ascii="Times New Roman" w:hAnsi="Times New Roman" w:cs="Times New Roman"/>
                <w:sz w:val="24"/>
                <w:szCs w:val="24"/>
              </w:rPr>
              <w:t>A</w:t>
            </w:r>
          </w:p>
        </w:tc>
      </w:tr>
      <w:tr w:rsidR="004F6653" w:rsidRPr="00FD5808" w14:paraId="77B6F05C" w14:textId="77777777" w:rsidTr="000B1D9C">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5A41C961" w14:textId="77777777" w:rsidR="004F6653" w:rsidRPr="00FD5808" w:rsidRDefault="004F6653" w:rsidP="008B5D7F">
            <w:pPr>
              <w:rPr>
                <w:rFonts w:ascii="Times New Roman" w:hAnsi="Times New Roman" w:cs="Times New Roman"/>
                <w:sz w:val="24"/>
                <w:szCs w:val="24"/>
              </w:rPr>
            </w:pPr>
            <w:r w:rsidRPr="00FD5808">
              <w:rPr>
                <w:rFonts w:ascii="Times New Roman" w:hAnsi="Times New Roman" w:cs="Times New Roman"/>
                <w:sz w:val="24"/>
                <w:szCs w:val="24"/>
              </w:rPr>
              <w:t>PICS</w:t>
            </w:r>
          </w:p>
        </w:tc>
        <w:tc>
          <w:tcPr>
            <w:tcW w:w="2337" w:type="dxa"/>
          </w:tcPr>
          <w:p w14:paraId="28D77E55"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129.8</w:t>
            </w:r>
          </w:p>
        </w:tc>
        <w:tc>
          <w:tcPr>
            <w:tcW w:w="2338" w:type="dxa"/>
          </w:tcPr>
          <w:p w14:paraId="6E165286"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5.7</w:t>
            </w:r>
          </w:p>
        </w:tc>
        <w:tc>
          <w:tcPr>
            <w:tcW w:w="2338" w:type="dxa"/>
          </w:tcPr>
          <w:p w14:paraId="6968E21A"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N/A</w:t>
            </w:r>
          </w:p>
        </w:tc>
      </w:tr>
      <w:tr w:rsidR="004F6653" w:rsidRPr="00FD5808" w14:paraId="5373D92D" w14:textId="77777777" w:rsidTr="000B1D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402FEF5C" w14:textId="77777777" w:rsidR="004F6653" w:rsidRPr="00FD5808" w:rsidRDefault="004F6653" w:rsidP="008B5D7F">
            <w:pPr>
              <w:rPr>
                <w:rFonts w:ascii="Times New Roman" w:hAnsi="Times New Roman" w:cs="Times New Roman"/>
                <w:sz w:val="24"/>
                <w:szCs w:val="24"/>
              </w:rPr>
            </w:pPr>
            <w:r w:rsidRPr="00FD5808">
              <w:rPr>
                <w:rFonts w:ascii="Times New Roman" w:hAnsi="Times New Roman" w:cs="Times New Roman"/>
                <w:sz w:val="24"/>
                <w:szCs w:val="24"/>
              </w:rPr>
              <w:t>Africa</w:t>
            </w:r>
          </w:p>
        </w:tc>
        <w:tc>
          <w:tcPr>
            <w:tcW w:w="2337" w:type="dxa"/>
          </w:tcPr>
          <w:p w14:paraId="09FE72AB" w14:textId="77777777"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11</w:t>
            </w:r>
          </w:p>
        </w:tc>
        <w:tc>
          <w:tcPr>
            <w:tcW w:w="2338" w:type="dxa"/>
          </w:tcPr>
          <w:p w14:paraId="0181C039" w14:textId="77777777"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5</w:t>
            </w:r>
          </w:p>
        </w:tc>
        <w:tc>
          <w:tcPr>
            <w:tcW w:w="2338" w:type="dxa"/>
          </w:tcPr>
          <w:p w14:paraId="69B803BA" w14:textId="77777777" w:rsidR="004F6653" w:rsidRPr="00FD5808" w:rsidRDefault="004F6653" w:rsidP="008B5D7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2</w:t>
            </w:r>
          </w:p>
        </w:tc>
      </w:tr>
      <w:tr w:rsidR="004F6653" w:rsidRPr="00FD5808" w14:paraId="09DC4DBA" w14:textId="77777777" w:rsidTr="000B1D9C">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1E5F7A27" w14:textId="77777777" w:rsidR="004F6653" w:rsidRPr="00FD5808" w:rsidRDefault="004F6653" w:rsidP="008B5D7F">
            <w:pPr>
              <w:rPr>
                <w:rFonts w:ascii="Times New Roman" w:hAnsi="Times New Roman" w:cs="Times New Roman"/>
                <w:sz w:val="24"/>
                <w:szCs w:val="24"/>
              </w:rPr>
            </w:pPr>
            <w:r w:rsidRPr="00FD5808">
              <w:rPr>
                <w:rFonts w:ascii="Times New Roman" w:hAnsi="Times New Roman" w:cs="Times New Roman"/>
                <w:sz w:val="24"/>
                <w:szCs w:val="24"/>
              </w:rPr>
              <w:t>Netherlands</w:t>
            </w:r>
          </w:p>
        </w:tc>
        <w:tc>
          <w:tcPr>
            <w:tcW w:w="2337" w:type="dxa"/>
          </w:tcPr>
          <w:p w14:paraId="4FDDE5BC"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3121</w:t>
            </w:r>
          </w:p>
        </w:tc>
        <w:tc>
          <w:tcPr>
            <w:tcW w:w="2338" w:type="dxa"/>
          </w:tcPr>
          <w:p w14:paraId="0EC346A6"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77</w:t>
            </w:r>
          </w:p>
        </w:tc>
        <w:tc>
          <w:tcPr>
            <w:tcW w:w="2338" w:type="dxa"/>
          </w:tcPr>
          <w:p w14:paraId="747A109D" w14:textId="77777777" w:rsidR="004F6653" w:rsidRPr="00FD5808" w:rsidRDefault="004F6653" w:rsidP="008B5D7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5808">
              <w:rPr>
                <w:rFonts w:ascii="Times New Roman" w:hAnsi="Times New Roman" w:cs="Times New Roman"/>
                <w:sz w:val="24"/>
                <w:szCs w:val="24"/>
              </w:rPr>
              <w:t>9.6</w:t>
            </w:r>
          </w:p>
        </w:tc>
      </w:tr>
    </w:tbl>
    <w:p w14:paraId="0B617DFF" w14:textId="77777777" w:rsidR="004F6653" w:rsidRPr="00FD5808" w:rsidRDefault="004F6653" w:rsidP="00372828">
      <w:pPr>
        <w:rPr>
          <w:rFonts w:ascii="Times New Roman" w:hAnsi="Times New Roman" w:cs="Times New Roman"/>
          <w:sz w:val="24"/>
          <w:szCs w:val="24"/>
          <w:lang w:eastAsia="en-GB"/>
        </w:rPr>
      </w:pPr>
    </w:p>
    <w:p w14:paraId="169D00BF" w14:textId="77777777" w:rsidR="004F6653" w:rsidRPr="00FD5808" w:rsidRDefault="004F6653" w:rsidP="00372828">
      <w:pPr>
        <w:rPr>
          <w:rFonts w:ascii="Times New Roman" w:hAnsi="Times New Roman" w:cs="Times New Roman"/>
          <w:sz w:val="24"/>
          <w:szCs w:val="24"/>
          <w:lang w:eastAsia="en-GB"/>
        </w:rPr>
        <w:sectPr w:rsidR="004F6653" w:rsidRPr="00FD5808" w:rsidSect="00432439">
          <w:type w:val="continuous"/>
          <w:pgSz w:w="12240" w:h="15840"/>
          <w:pgMar w:top="1440" w:right="1440" w:bottom="1440" w:left="1440" w:header="720" w:footer="720" w:gutter="0"/>
          <w:cols w:space="720"/>
          <w:docGrid w:linePitch="360"/>
        </w:sectPr>
      </w:pPr>
    </w:p>
    <w:p w14:paraId="0BB52C40" w14:textId="36FD4BB2" w:rsidR="00A5472E" w:rsidRPr="00FD5808" w:rsidRDefault="00967C1B" w:rsidP="00372828">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Altogether, for the four CARICOM countries, the AEFIs per 100,000 doses was 64.1 and 12.2 serious AEFIs per 100,000 doses up to </w:t>
      </w:r>
      <w:r w:rsidR="002A1D58">
        <w:rPr>
          <w:rFonts w:ascii="Times New Roman" w:hAnsi="Times New Roman" w:cs="Times New Roman"/>
          <w:sz w:val="24"/>
          <w:szCs w:val="24"/>
          <w:lang w:eastAsia="en-GB"/>
        </w:rPr>
        <w:t>14 December</w:t>
      </w:r>
      <w:r w:rsidRPr="00FD5808">
        <w:rPr>
          <w:rFonts w:ascii="Times New Roman" w:hAnsi="Times New Roman" w:cs="Times New Roman"/>
          <w:sz w:val="24"/>
          <w:szCs w:val="24"/>
          <w:lang w:eastAsia="en-GB"/>
        </w:rPr>
        <w:t xml:space="preserve"> 2022. The Pacific Island Countries (PICS) are small states </w:t>
      </w:r>
      <w:r w:rsidR="00FF0A33">
        <w:rPr>
          <w:rFonts w:ascii="Times New Roman" w:hAnsi="Times New Roman" w:cs="Times New Roman"/>
          <w:sz w:val="24"/>
          <w:szCs w:val="24"/>
          <w:lang w:eastAsia="en-GB"/>
        </w:rPr>
        <w:t xml:space="preserve">similar to </w:t>
      </w:r>
      <w:r w:rsidRPr="00FD5808">
        <w:rPr>
          <w:rFonts w:ascii="Times New Roman" w:hAnsi="Times New Roman" w:cs="Times New Roman"/>
          <w:sz w:val="24"/>
          <w:szCs w:val="24"/>
          <w:lang w:eastAsia="en-GB"/>
        </w:rPr>
        <w:t>those present in the Caribbean, including its pharmacovigilance structure. In a study done by Amarasinghe, et.al. on COVID-19 vaccine-related AEFIs in the PICS, from 2021 to 2022, the reporting rates of total AEFIs was 129.8 events per 100 000 doses administered, and serious AEFIs were 5.7 events per 100 000 doses administered.</w:t>
      </w:r>
      <w:r w:rsidR="00BB5730" w:rsidRPr="00FD5808">
        <w:rPr>
          <w:rFonts w:ascii="Times New Roman" w:hAnsi="Times New Roman" w:cs="Times New Roman"/>
          <w:sz w:val="24"/>
          <w:szCs w:val="24"/>
          <w:lang w:eastAsia="en-GB"/>
        </w:rPr>
        <w:t xml:space="preserve"> (Amarsinghe et al.</w:t>
      </w:r>
      <w:r w:rsidR="00E25F44">
        <w:rPr>
          <w:rFonts w:ascii="Times New Roman" w:hAnsi="Times New Roman" w:cs="Times New Roman"/>
          <w:sz w:val="24"/>
          <w:szCs w:val="24"/>
          <w:lang w:eastAsia="en-GB"/>
        </w:rPr>
        <w:t>, 2023</w:t>
      </w:r>
      <w:r w:rsidR="00BB5730" w:rsidRPr="00FD5808">
        <w:rPr>
          <w:rFonts w:ascii="Times New Roman" w:hAnsi="Times New Roman" w:cs="Times New Roman"/>
          <w:sz w:val="24"/>
          <w:szCs w:val="24"/>
          <w:lang w:eastAsia="en-GB"/>
        </w:rPr>
        <w:t>)</w:t>
      </w:r>
    </w:p>
    <w:p w14:paraId="0343D330" w14:textId="7E9F2BEF" w:rsidR="00D24C99" w:rsidRPr="00FD5808" w:rsidRDefault="00967C1B" w:rsidP="00372828">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Oosterhuis, et. al.</w:t>
      </w:r>
      <w:r w:rsidR="006B33CA" w:rsidRPr="00FD5808">
        <w:rPr>
          <w:rFonts w:ascii="Times New Roman" w:hAnsi="Times New Roman" w:cs="Times New Roman"/>
          <w:sz w:val="24"/>
          <w:szCs w:val="24"/>
          <w:lang w:eastAsia="en-GB"/>
        </w:rPr>
        <w:t>(2023)</w:t>
      </w:r>
      <w:r w:rsidRPr="00FD5808">
        <w:rPr>
          <w:rFonts w:ascii="Times New Roman" w:hAnsi="Times New Roman" w:cs="Times New Roman"/>
          <w:sz w:val="24"/>
          <w:szCs w:val="24"/>
          <w:lang w:eastAsia="en-GB"/>
        </w:rPr>
        <w:t xml:space="preserve"> stated that in 2021, </w:t>
      </w:r>
      <w:r w:rsidR="00FF0A33">
        <w:rPr>
          <w:rFonts w:ascii="Times New Roman" w:hAnsi="Times New Roman" w:cs="Times New Roman"/>
          <w:sz w:val="24"/>
          <w:szCs w:val="24"/>
          <w:lang w:eastAsia="en-GB"/>
        </w:rPr>
        <w:t>t</w:t>
      </w:r>
      <w:r w:rsidRPr="00FD5808">
        <w:rPr>
          <w:rFonts w:ascii="Times New Roman" w:hAnsi="Times New Roman" w:cs="Times New Roman"/>
          <w:sz w:val="24"/>
          <w:szCs w:val="24"/>
          <w:lang w:eastAsia="en-GB"/>
        </w:rPr>
        <w:t>he Netherlands Pharmacovigilance Centre Lareb, received 184,411 ICSRs, a reporting rate of 0.67% for vaccines given in the Netherlands</w:t>
      </w:r>
      <w:r w:rsidR="00FF0A33">
        <w:rPr>
          <w:rFonts w:ascii="Times New Roman" w:hAnsi="Times New Roman" w:cs="Times New Roman"/>
          <w:sz w:val="24"/>
          <w:szCs w:val="24"/>
          <w:lang w:eastAsia="en-GB"/>
        </w:rPr>
        <w:t xml:space="preserve"> - </w:t>
      </w:r>
      <w:r w:rsidRPr="00FD5808">
        <w:rPr>
          <w:rFonts w:ascii="Times New Roman" w:hAnsi="Times New Roman" w:cs="Times New Roman"/>
          <w:sz w:val="24"/>
          <w:szCs w:val="24"/>
          <w:lang w:eastAsia="en-GB"/>
        </w:rPr>
        <w:t>6.4 ICSRs per million residents. While 887,954 AEFIs were reported, mostly well-known, non</w:t>
      </w:r>
      <w:r w:rsidR="002A1D5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serious AEFIs; 2.4% were serious and 0.3% were fatal.</w:t>
      </w:r>
      <w:r w:rsidR="00BB5730" w:rsidRPr="00FD5808">
        <w:rPr>
          <w:rFonts w:ascii="Times New Roman" w:hAnsi="Times New Roman" w:cs="Times New Roman"/>
          <w:sz w:val="24"/>
          <w:szCs w:val="24"/>
          <w:lang w:eastAsia="en-GB"/>
        </w:rPr>
        <w:t xml:space="preserve"> (Oosterhuis, et. al.2023)</w:t>
      </w:r>
      <w:r w:rsidRPr="00FD5808">
        <w:rPr>
          <w:rFonts w:ascii="Times New Roman" w:hAnsi="Times New Roman" w:cs="Times New Roman"/>
          <w:sz w:val="24"/>
          <w:szCs w:val="24"/>
          <w:lang w:eastAsia="en-GB"/>
        </w:rPr>
        <w:t xml:space="preserve"> </w:t>
      </w:r>
      <w:r w:rsidR="004F6653" w:rsidRPr="00FD5808">
        <w:rPr>
          <w:rFonts w:ascii="Times New Roman" w:hAnsi="Times New Roman" w:cs="Times New Roman"/>
          <w:sz w:val="24"/>
          <w:szCs w:val="24"/>
          <w:lang w:eastAsia="en-GB"/>
        </w:rPr>
        <w:t>(See Table 3</w:t>
      </w:r>
      <w:r w:rsidR="000E2301" w:rsidRPr="00FD5808">
        <w:rPr>
          <w:rFonts w:ascii="Times New Roman" w:hAnsi="Times New Roman" w:cs="Times New Roman"/>
          <w:sz w:val="24"/>
          <w:szCs w:val="24"/>
          <w:lang w:eastAsia="en-GB"/>
        </w:rPr>
        <w:t>)</w:t>
      </w:r>
    </w:p>
    <w:p w14:paraId="43B7AB2D" w14:textId="611CC02F" w:rsidR="004F6653" w:rsidRPr="00FD5808" w:rsidRDefault="004F6653" w:rsidP="00372828">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Based on the published data on VigiCarib News, in the CARICOM three hundred (19.0%) ICSRs were classified as serious, based on seriousness criteria: 4.2% (N=67) death, 1.3% (N=21) life threatening, 7.1% (N=113) caused/prolonged hospitalization, 3.4% (N=53) disabling/incapacitating, 6.7% (N=106) other medically important condition. Ogar, et.al., found that in Africa, serious adverse events accounted for 12.2% </w:t>
      </w:r>
      <w:r w:rsidR="00EA4265">
        <w:rPr>
          <w:rFonts w:ascii="Times New Roman" w:hAnsi="Times New Roman" w:cs="Times New Roman"/>
          <w:sz w:val="24"/>
          <w:szCs w:val="24"/>
          <w:lang w:eastAsia="en-GB"/>
        </w:rPr>
        <w:t xml:space="preserve">of AEFIs </w:t>
      </w:r>
      <w:r w:rsidRPr="00FD5808">
        <w:rPr>
          <w:rFonts w:ascii="Times New Roman" w:hAnsi="Times New Roman" w:cs="Times New Roman"/>
          <w:sz w:val="24"/>
          <w:szCs w:val="24"/>
          <w:lang w:eastAsia="en-GB"/>
        </w:rPr>
        <w:t xml:space="preserve">compared to 27.1% for the rest of the world, followed by death 10.1% </w:t>
      </w:r>
      <w:r w:rsidR="00EA4265">
        <w:rPr>
          <w:rFonts w:ascii="Times New Roman" w:hAnsi="Times New Roman" w:cs="Times New Roman"/>
          <w:sz w:val="24"/>
          <w:szCs w:val="24"/>
          <w:lang w:eastAsia="en-GB"/>
        </w:rPr>
        <w:t xml:space="preserve">of AEFIs </w:t>
      </w:r>
      <w:r w:rsidRPr="00FD5808">
        <w:rPr>
          <w:rFonts w:ascii="Times New Roman" w:hAnsi="Times New Roman" w:cs="Times New Roman"/>
          <w:sz w:val="24"/>
          <w:szCs w:val="24"/>
          <w:lang w:eastAsia="en-GB"/>
        </w:rPr>
        <w:t xml:space="preserve">from Africa compared to 9.6% for the rest of the globe. As for outcome, 61.4% of the adverse events in Africa were resolved at the time of reporting, while 58.2% have been resolved in the rest of the world. Based on the publicly available data on the selected CARICOM countries, the outcome of the adverse events was not published. Despite these serious ICSRs, a study by Watson, et.al. </w:t>
      </w:r>
      <w:r w:rsidR="00BF0622" w:rsidRPr="00FD5808">
        <w:rPr>
          <w:rFonts w:ascii="Times New Roman" w:hAnsi="Times New Roman" w:cs="Times New Roman"/>
          <w:sz w:val="24"/>
          <w:szCs w:val="24"/>
          <w:lang w:eastAsia="en-GB"/>
        </w:rPr>
        <w:t>estimate</w:t>
      </w:r>
      <w:r w:rsidRPr="00FD5808">
        <w:rPr>
          <w:rFonts w:ascii="Times New Roman" w:hAnsi="Times New Roman" w:cs="Times New Roman"/>
          <w:sz w:val="24"/>
          <w:szCs w:val="24"/>
          <w:lang w:eastAsia="en-GB"/>
        </w:rPr>
        <w:t xml:space="preserve"> that COVID-19 vaccinations prevented 14.4 million deaths in 185 countries and territories between December</w:t>
      </w:r>
      <w:r w:rsidR="00EA4265">
        <w:rPr>
          <w:rFonts w:ascii="Times New Roman" w:hAnsi="Times New Roman" w:cs="Times New Roman"/>
          <w:sz w:val="24"/>
          <w:szCs w:val="24"/>
          <w:lang w:eastAsia="en-GB"/>
        </w:rPr>
        <w:t xml:space="preserve"> 8,</w:t>
      </w:r>
      <w:r w:rsidRPr="00FD5808">
        <w:rPr>
          <w:rFonts w:ascii="Times New Roman" w:hAnsi="Times New Roman" w:cs="Times New Roman"/>
          <w:sz w:val="24"/>
          <w:szCs w:val="24"/>
          <w:lang w:eastAsia="en-GB"/>
        </w:rPr>
        <w:t xml:space="preserve"> 2020 and</w:t>
      </w:r>
      <w:r w:rsidR="00EA4265">
        <w:rPr>
          <w:rFonts w:ascii="Times New Roman" w:hAnsi="Times New Roman" w:cs="Times New Roman"/>
          <w:sz w:val="24"/>
          <w:szCs w:val="24"/>
          <w:lang w:eastAsia="en-GB"/>
        </w:rPr>
        <w:t xml:space="preserve"> </w:t>
      </w:r>
      <w:r w:rsidRPr="00FD5808">
        <w:rPr>
          <w:rFonts w:ascii="Times New Roman" w:hAnsi="Times New Roman" w:cs="Times New Roman"/>
          <w:sz w:val="24"/>
          <w:szCs w:val="24"/>
          <w:lang w:eastAsia="en-GB"/>
        </w:rPr>
        <w:t xml:space="preserve">December </w:t>
      </w:r>
      <w:r w:rsidR="00EA4265">
        <w:rPr>
          <w:rFonts w:ascii="Times New Roman" w:hAnsi="Times New Roman" w:cs="Times New Roman"/>
          <w:sz w:val="24"/>
          <w:szCs w:val="24"/>
          <w:lang w:eastAsia="en-GB"/>
        </w:rPr>
        <w:t xml:space="preserve">8, </w:t>
      </w:r>
      <w:r w:rsidRPr="00FD5808">
        <w:rPr>
          <w:rFonts w:ascii="Times New Roman" w:hAnsi="Times New Roman" w:cs="Times New Roman"/>
          <w:sz w:val="24"/>
          <w:szCs w:val="24"/>
          <w:lang w:eastAsia="en-GB"/>
        </w:rPr>
        <w:t>2021.</w:t>
      </w:r>
      <w:r w:rsidR="00E25F44">
        <w:rPr>
          <w:rFonts w:ascii="Times New Roman" w:hAnsi="Times New Roman" w:cs="Times New Roman"/>
          <w:sz w:val="24"/>
          <w:szCs w:val="24"/>
          <w:lang w:eastAsia="en-GB"/>
        </w:rPr>
        <w:t xml:space="preserve"> </w:t>
      </w:r>
      <w:r w:rsidR="00BB5730" w:rsidRPr="00FD5808">
        <w:rPr>
          <w:rFonts w:ascii="Times New Roman" w:hAnsi="Times New Roman" w:cs="Times New Roman"/>
          <w:sz w:val="24"/>
          <w:szCs w:val="24"/>
          <w:lang w:eastAsia="en-GB"/>
        </w:rPr>
        <w:t>(Watson et al.</w:t>
      </w:r>
      <w:r w:rsidR="00E25F44">
        <w:rPr>
          <w:rFonts w:ascii="Times New Roman" w:hAnsi="Times New Roman" w:cs="Times New Roman"/>
          <w:sz w:val="24"/>
          <w:szCs w:val="24"/>
          <w:lang w:eastAsia="en-GB"/>
        </w:rPr>
        <w:t>, 2022</w:t>
      </w:r>
      <w:r w:rsidR="00BB5730" w:rsidRPr="00FD5808">
        <w:rPr>
          <w:rFonts w:ascii="Times New Roman" w:hAnsi="Times New Roman" w:cs="Times New Roman"/>
          <w:sz w:val="24"/>
          <w:szCs w:val="24"/>
          <w:lang w:eastAsia="en-GB"/>
        </w:rPr>
        <w:t>)</w:t>
      </w:r>
    </w:p>
    <w:p w14:paraId="30171736" w14:textId="2144B1A1" w:rsidR="004F6653" w:rsidRPr="00EA4265" w:rsidRDefault="004F6653" w:rsidP="00372828">
      <w:pPr>
        <w:rPr>
          <w:rFonts w:ascii="Times New Roman" w:hAnsi="Times New Roman" w:cs="Times New Roman"/>
          <w:b/>
          <w:bCs/>
          <w:sz w:val="24"/>
          <w:szCs w:val="24"/>
          <w:lang w:eastAsia="en-GB"/>
        </w:rPr>
      </w:pPr>
      <w:r w:rsidRPr="00EA4265">
        <w:rPr>
          <w:rFonts w:ascii="Times New Roman" w:hAnsi="Times New Roman" w:cs="Times New Roman"/>
          <w:b/>
          <w:bCs/>
          <w:sz w:val="24"/>
          <w:szCs w:val="24"/>
          <w:lang w:eastAsia="en-GB"/>
        </w:rPr>
        <w:t>Reporting in CARICOM Countries</w:t>
      </w:r>
    </w:p>
    <w:p w14:paraId="22337333" w14:textId="2705C0B7" w:rsidR="00372828" w:rsidRPr="00FD5808" w:rsidRDefault="00372828" w:rsidP="00372828">
      <w:pPr>
        <w:rPr>
          <w:rFonts w:ascii="Times New Roman" w:hAnsi="Times New Roman" w:cs="Times New Roman"/>
          <w:sz w:val="24"/>
          <w:szCs w:val="24"/>
          <w:lang w:eastAsia="en-GB"/>
        </w:rPr>
      </w:pPr>
      <w:r w:rsidRPr="00FD5808">
        <w:rPr>
          <w:rFonts w:ascii="Times New Roman" w:hAnsi="Times New Roman" w:cs="Times New Roman"/>
          <w:sz w:val="24"/>
          <w:szCs w:val="24"/>
          <w:vertAlign w:val="superscript"/>
        </w:rPr>
        <w:t xml:space="preserve"> </w:t>
      </w:r>
      <w:r w:rsidRPr="00FD5808">
        <w:rPr>
          <w:rFonts w:ascii="Times New Roman" w:hAnsi="Times New Roman" w:cs="Times New Roman"/>
          <w:sz w:val="24"/>
          <w:szCs w:val="24"/>
          <w:lang w:eastAsia="en-GB"/>
        </w:rPr>
        <w:t xml:space="preserve">In Barbados, suspected AEFIs to COVID-19 vaccines are reported to the National Pharmacovigilance Centre at the Barbados Drug Service. Both health professionals and the public can report electronically via its website. </w:t>
      </w:r>
      <w:r w:rsidR="002B64A6" w:rsidRPr="00FD5808">
        <w:rPr>
          <w:rFonts w:ascii="Times New Roman" w:hAnsi="Times New Roman" w:cs="Times New Roman"/>
          <w:sz w:val="24"/>
          <w:szCs w:val="24"/>
          <w:lang w:eastAsia="en-GB"/>
        </w:rPr>
        <w:t>The pharmacovigilance officer reviews all COVID-19 AEFIs</w:t>
      </w:r>
      <w:r w:rsidRPr="00FD5808">
        <w:rPr>
          <w:rFonts w:ascii="Times New Roman" w:hAnsi="Times New Roman" w:cs="Times New Roman"/>
          <w:sz w:val="24"/>
          <w:szCs w:val="24"/>
          <w:lang w:eastAsia="en-GB"/>
        </w:rPr>
        <w:t>. When the AEFI report meets specific severity thresholds, it triggers an investigation as a serious</w:t>
      </w:r>
      <w:r w:rsidR="00BB5730" w:rsidRPr="00FD5808">
        <w:rPr>
          <w:rFonts w:ascii="Times New Roman" w:hAnsi="Times New Roman" w:cs="Times New Roman"/>
          <w:sz w:val="24"/>
          <w:szCs w:val="24"/>
          <w:lang w:eastAsia="en-GB"/>
        </w:rPr>
        <w:t xml:space="preserve"> AEFI</w:t>
      </w:r>
      <w:r w:rsidR="00E22266" w:rsidRPr="00FD5808">
        <w:rPr>
          <w:rFonts w:ascii="Times New Roman" w:hAnsi="Times New Roman" w:cs="Times New Roman"/>
          <w:sz w:val="24"/>
          <w:szCs w:val="24"/>
          <w:lang w:eastAsia="en-GB"/>
        </w:rPr>
        <w:t>. (UWI</w:t>
      </w:r>
      <w:r w:rsidR="00E25F44">
        <w:rPr>
          <w:rFonts w:ascii="Times New Roman" w:hAnsi="Times New Roman" w:cs="Times New Roman"/>
          <w:sz w:val="24"/>
          <w:szCs w:val="24"/>
          <w:lang w:eastAsia="en-GB"/>
        </w:rPr>
        <w:t xml:space="preserve">tv, </w:t>
      </w:r>
      <w:r w:rsidR="00E22266" w:rsidRPr="00FD5808">
        <w:rPr>
          <w:rFonts w:ascii="Times New Roman" w:hAnsi="Times New Roman" w:cs="Times New Roman"/>
          <w:sz w:val="24"/>
          <w:szCs w:val="24"/>
          <w:lang w:eastAsia="en-GB"/>
        </w:rPr>
        <w:t>2021)</w:t>
      </w:r>
      <w:r w:rsidRPr="00FD5808">
        <w:rPr>
          <w:rFonts w:ascii="Times New Roman" w:hAnsi="Times New Roman" w:cs="Times New Roman"/>
          <w:sz w:val="24"/>
          <w:szCs w:val="24"/>
          <w:lang w:eastAsia="en-GB"/>
        </w:rPr>
        <w:t xml:space="preserve"> The national COVID-19 AEFI reports accounted for 38.0% of the total of CARICOM countries reporting to VigiBase (Figure </w:t>
      </w:r>
      <w:r w:rsidR="00342E1D" w:rsidRPr="00FD5808">
        <w:rPr>
          <w:rFonts w:ascii="Times New Roman" w:hAnsi="Times New Roman" w:cs="Times New Roman"/>
          <w:sz w:val="24"/>
          <w:szCs w:val="24"/>
          <w:lang w:eastAsia="en-GB"/>
        </w:rPr>
        <w:t>1</w:t>
      </w:r>
      <w:r w:rsidRPr="00FD5808">
        <w:rPr>
          <w:rFonts w:ascii="Times New Roman" w:hAnsi="Times New Roman" w:cs="Times New Roman"/>
          <w:sz w:val="24"/>
          <w:szCs w:val="24"/>
          <w:lang w:eastAsia="en-GB"/>
        </w:rPr>
        <w:t>).</w:t>
      </w:r>
    </w:p>
    <w:p w14:paraId="2AD72EE4" w14:textId="68BF74CF" w:rsidR="00372828" w:rsidRPr="00FD5808" w:rsidRDefault="00372828" w:rsidP="00372828">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In February 2021, the Barbados Drug Service (BDS) published a request to persons that have been administered the COVID-19 vaccine to report any suspected side effects </w:t>
      </w:r>
      <w:r w:rsidR="00EA4265">
        <w:rPr>
          <w:rFonts w:ascii="Times New Roman" w:hAnsi="Times New Roman" w:cs="Times New Roman"/>
          <w:sz w:val="24"/>
          <w:szCs w:val="24"/>
          <w:lang w:eastAsia="en-GB"/>
        </w:rPr>
        <w:t>by filling</w:t>
      </w:r>
      <w:r w:rsidRPr="00FD5808">
        <w:rPr>
          <w:rFonts w:ascii="Times New Roman" w:hAnsi="Times New Roman" w:cs="Times New Roman"/>
          <w:sz w:val="24"/>
          <w:szCs w:val="24"/>
          <w:lang w:eastAsia="en-GB"/>
        </w:rPr>
        <w:t xml:space="preserve"> out the ‘Reporting Form For Suspected COVID-19 AEFI’ </w:t>
      </w:r>
      <w:r w:rsidR="00EA4265">
        <w:rPr>
          <w:rFonts w:ascii="Times New Roman" w:hAnsi="Times New Roman" w:cs="Times New Roman"/>
          <w:sz w:val="24"/>
          <w:szCs w:val="24"/>
          <w:lang w:eastAsia="en-GB"/>
        </w:rPr>
        <w:t xml:space="preserve">on their website </w:t>
      </w:r>
      <w:r w:rsidRPr="00FD5808">
        <w:rPr>
          <w:rFonts w:ascii="Times New Roman" w:hAnsi="Times New Roman" w:cs="Times New Roman"/>
          <w:sz w:val="24"/>
          <w:szCs w:val="24"/>
          <w:lang w:eastAsia="en-GB"/>
        </w:rPr>
        <w:t>and made available an active surveillance COVID-19 form for health professionals which uses the UMC eReporting Form</w:t>
      </w:r>
      <w:r w:rsidR="00342E1D" w:rsidRPr="00FD5808">
        <w:rPr>
          <w:rFonts w:ascii="Times New Roman" w:hAnsi="Times New Roman" w:cs="Times New Roman"/>
          <w:sz w:val="24"/>
          <w:szCs w:val="24"/>
          <w:lang w:eastAsia="en-GB"/>
        </w:rPr>
        <w:t>.</w:t>
      </w:r>
      <w:r w:rsidR="00E22266" w:rsidRPr="00FD5808">
        <w:rPr>
          <w:rFonts w:ascii="Times New Roman" w:hAnsi="Times New Roman" w:cs="Times New Roman"/>
          <w:sz w:val="24"/>
          <w:szCs w:val="24"/>
          <w:lang w:eastAsia="en-GB"/>
        </w:rPr>
        <w:t xml:space="preserve"> (Barb</w:t>
      </w:r>
      <w:r w:rsidR="00E25F44">
        <w:rPr>
          <w:rFonts w:ascii="Times New Roman" w:hAnsi="Times New Roman" w:cs="Times New Roman"/>
          <w:sz w:val="24"/>
          <w:szCs w:val="24"/>
          <w:lang w:eastAsia="en-GB"/>
        </w:rPr>
        <w:t>ados GIS, n.d.)</w:t>
      </w:r>
      <w:r w:rsidR="00BB5730" w:rsidRPr="00FD5808">
        <w:rPr>
          <w:rFonts w:ascii="Times New Roman" w:hAnsi="Times New Roman" w:cs="Times New Roman"/>
          <w:sz w:val="24"/>
          <w:szCs w:val="24"/>
          <w:lang w:eastAsia="en-GB"/>
        </w:rPr>
        <w:t xml:space="preserve"> </w:t>
      </w:r>
    </w:p>
    <w:p w14:paraId="7EB18A69" w14:textId="55CA77CB" w:rsidR="00E66FFE" w:rsidRPr="00FD5808" w:rsidRDefault="00E66FFE" w:rsidP="00967C1B">
      <w:pPr>
        <w:rPr>
          <w:rFonts w:ascii="Times New Roman" w:hAnsi="Times New Roman" w:cs="Times New Roman"/>
          <w:sz w:val="24"/>
          <w:szCs w:val="24"/>
          <w:vertAlign w:val="superscript"/>
        </w:rPr>
        <w:sectPr w:rsidR="00E66FFE" w:rsidRPr="00FD5808" w:rsidSect="00432439">
          <w:type w:val="continuous"/>
          <w:pgSz w:w="12240" w:h="15840"/>
          <w:pgMar w:top="1440" w:right="1440" w:bottom="1440" w:left="1440" w:header="720" w:footer="720" w:gutter="0"/>
          <w:cols w:num="2" w:space="720"/>
          <w:docGrid w:linePitch="360"/>
        </w:sectPr>
      </w:pPr>
    </w:p>
    <w:p w14:paraId="258D1356" w14:textId="187C96CA" w:rsidR="00D05264" w:rsidRPr="00FD5808" w:rsidRDefault="00D05264" w:rsidP="00967C1B">
      <w:pPr>
        <w:rPr>
          <w:rFonts w:ascii="Times New Roman" w:hAnsi="Times New Roman" w:cs="Times New Roman"/>
          <w:sz w:val="24"/>
          <w:szCs w:val="24"/>
          <w:lang w:eastAsia="en-GB"/>
        </w:rPr>
      </w:pPr>
      <w:r w:rsidRPr="00FD5808">
        <w:rPr>
          <w:rFonts w:ascii="Times New Roman" w:hAnsi="Times New Roman" w:cs="Times New Roman"/>
          <w:b/>
          <w:sz w:val="24"/>
          <w:szCs w:val="24"/>
          <w:vertAlign w:val="superscript"/>
        </w:rPr>
        <w:br/>
      </w:r>
    </w:p>
    <w:p w14:paraId="7539D18F" w14:textId="77777777" w:rsidR="00372828" w:rsidRPr="00FD5808" w:rsidRDefault="00372828" w:rsidP="004F6153">
      <w:pPr>
        <w:jc w:val="center"/>
        <w:rPr>
          <w:rFonts w:ascii="Times New Roman" w:hAnsi="Times New Roman" w:cs="Times New Roman"/>
          <w:sz w:val="24"/>
          <w:szCs w:val="24"/>
          <w:lang w:eastAsia="en-GB"/>
        </w:rPr>
        <w:sectPr w:rsidR="00372828" w:rsidRPr="00FD5808" w:rsidSect="00432439">
          <w:type w:val="continuous"/>
          <w:pgSz w:w="12240" w:h="15840"/>
          <w:pgMar w:top="1440" w:right="1440" w:bottom="1440" w:left="1440" w:header="720" w:footer="720" w:gutter="0"/>
          <w:cols w:space="720"/>
          <w:docGrid w:linePitch="360"/>
        </w:sectPr>
      </w:pPr>
    </w:p>
    <w:p w14:paraId="05CEABB2" w14:textId="413A50C8" w:rsidR="00D05264" w:rsidRPr="00FD5808" w:rsidRDefault="00D05264" w:rsidP="004F6153">
      <w:pPr>
        <w:jc w:val="center"/>
        <w:rPr>
          <w:rFonts w:ascii="Times New Roman" w:hAnsi="Times New Roman" w:cs="Times New Roman"/>
          <w:sz w:val="24"/>
          <w:szCs w:val="24"/>
          <w:lang w:eastAsia="en-GB"/>
        </w:rPr>
      </w:pPr>
      <w:r w:rsidRPr="00FD5808">
        <w:rPr>
          <w:rFonts w:ascii="Times New Roman" w:hAnsi="Times New Roman" w:cs="Times New Roman"/>
          <w:noProof/>
          <w:sz w:val="24"/>
          <w:szCs w:val="24"/>
          <w:lang w:val="en-US"/>
        </w:rPr>
        <w:drawing>
          <wp:inline distT="0" distB="0" distL="0" distR="0" wp14:anchorId="449D7B95" wp14:editId="689ADDA4">
            <wp:extent cx="5128260" cy="2042160"/>
            <wp:effectExtent l="0" t="0" r="15240" b="15240"/>
            <wp:docPr id="288302740" name="Chart 1">
              <a:extLst xmlns:a="http://schemas.openxmlformats.org/drawingml/2006/main">
                <a:ext uri="{FF2B5EF4-FFF2-40B4-BE49-F238E27FC236}">
                  <a16:creationId xmlns:a16="http://schemas.microsoft.com/office/drawing/2014/main" id="{6AD1A037-21F1-E5E2-68B3-146169563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6556CD" w14:textId="4DEA764F" w:rsidR="00E66FFE" w:rsidRPr="00FD5808" w:rsidRDefault="00D05264" w:rsidP="004D35EC">
      <w:pPr>
        <w:jc w:val="center"/>
        <w:rPr>
          <w:rFonts w:ascii="Times New Roman" w:hAnsi="Times New Roman" w:cs="Times New Roman"/>
          <w:sz w:val="24"/>
          <w:szCs w:val="24"/>
          <w:lang w:eastAsia="en-GB"/>
        </w:rPr>
        <w:sectPr w:rsidR="00E66FFE" w:rsidRPr="00FD5808" w:rsidSect="00432439">
          <w:type w:val="continuous"/>
          <w:pgSz w:w="12240" w:h="15840"/>
          <w:pgMar w:top="1440" w:right="1440" w:bottom="1440" w:left="1440" w:header="720" w:footer="720" w:gutter="0"/>
          <w:cols w:space="720"/>
          <w:docGrid w:linePitch="360"/>
        </w:sectPr>
      </w:pPr>
      <w:r w:rsidRPr="00FD5808">
        <w:rPr>
          <w:rFonts w:ascii="Times New Roman" w:hAnsi="Times New Roman" w:cs="Times New Roman"/>
          <w:sz w:val="24"/>
          <w:szCs w:val="24"/>
        </w:rPr>
        <w:t xml:space="preserve">Figure 3: Case reports of adverse events following immunization (AEFIs) with COVID-19 vaccines submitted to VigiBase per CARICOM countries from 1 March 2020 to </w:t>
      </w:r>
      <w:r w:rsidR="002A1D58">
        <w:rPr>
          <w:rFonts w:ascii="Times New Roman" w:hAnsi="Times New Roman" w:cs="Times New Roman"/>
          <w:sz w:val="24"/>
          <w:szCs w:val="24"/>
        </w:rPr>
        <w:t>14 December</w:t>
      </w:r>
      <w:r w:rsidRPr="00FD5808">
        <w:rPr>
          <w:rFonts w:ascii="Times New Roman" w:hAnsi="Times New Roman" w:cs="Times New Roman"/>
          <w:sz w:val="24"/>
          <w:szCs w:val="24"/>
        </w:rPr>
        <w:t xml:space="preserve"> 2022 </w:t>
      </w:r>
      <w:r w:rsidRPr="00FD5808">
        <w:rPr>
          <w:rFonts w:ascii="Times New Roman" w:hAnsi="Times New Roman" w:cs="Times New Roman"/>
          <w:color w:val="000000"/>
          <w:sz w:val="24"/>
          <w:szCs w:val="24"/>
        </w:rPr>
        <w:t>(N = 1,582)</w:t>
      </w:r>
      <w:r w:rsidR="005F2B81" w:rsidRPr="00FD5808">
        <w:rPr>
          <w:rFonts w:ascii="Times New Roman" w:hAnsi="Times New Roman" w:cs="Times New Roman"/>
          <w:sz w:val="24"/>
          <w:szCs w:val="24"/>
          <w:lang w:eastAsia="en-GB"/>
        </w:rPr>
        <w:t xml:space="preserve">. </w:t>
      </w:r>
      <w:r w:rsidR="005F2B81" w:rsidRPr="00FD5808">
        <w:rPr>
          <w:rFonts w:ascii="Times New Roman" w:hAnsi="Times New Roman" w:cs="Times New Roman"/>
          <w:color w:val="000000"/>
          <w:sz w:val="24"/>
          <w:szCs w:val="24"/>
        </w:rPr>
        <w:t>(CARPHA, 2022)</w:t>
      </w:r>
    </w:p>
    <w:p w14:paraId="54BD5D09" w14:textId="43A876AA"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Within Jamaica’s Ministry of Health and Wellness, the Standards and Regulation </w:t>
      </w:r>
      <w:r w:rsidR="00BF0622" w:rsidRPr="00FD5808">
        <w:rPr>
          <w:rFonts w:ascii="Times New Roman" w:hAnsi="Times New Roman" w:cs="Times New Roman"/>
          <w:sz w:val="24"/>
          <w:szCs w:val="24"/>
          <w:lang w:eastAsia="en-GB"/>
        </w:rPr>
        <w:t xml:space="preserve"> (MoHW) </w:t>
      </w:r>
      <w:r w:rsidRPr="00FD5808">
        <w:rPr>
          <w:rFonts w:ascii="Times New Roman" w:hAnsi="Times New Roman" w:cs="Times New Roman"/>
          <w:sz w:val="24"/>
          <w:szCs w:val="24"/>
          <w:lang w:eastAsia="en-GB"/>
        </w:rPr>
        <w:t xml:space="preserve">Division is responsible of ensuring the safety, efficacy, and quality of medical products available on the Jamaican market. The Permit Approval and Products Registration Unit is responsible for post market surveillance </w:t>
      </w:r>
      <w:r w:rsidR="00FD5808" w:rsidRPr="00FD5808">
        <w:rPr>
          <w:rFonts w:ascii="Times New Roman" w:hAnsi="Times New Roman" w:cs="Times New Roman"/>
          <w:sz w:val="24"/>
          <w:szCs w:val="24"/>
          <w:lang w:eastAsia="en-GB"/>
        </w:rPr>
        <w:t>programm</w:t>
      </w:r>
      <w:r w:rsidRPr="00FD5808">
        <w:rPr>
          <w:rFonts w:ascii="Times New Roman" w:hAnsi="Times New Roman" w:cs="Times New Roman"/>
          <w:sz w:val="24"/>
          <w:szCs w:val="24"/>
          <w:lang w:eastAsia="en-GB"/>
        </w:rPr>
        <w:t xml:space="preserve">es to monitor the safety and effectiveness of approved products, including vaccines. After the first month of starting the COVID-19 vaccination </w:t>
      </w:r>
      <w:r w:rsidR="002A1D58">
        <w:rPr>
          <w:rFonts w:ascii="Times New Roman" w:hAnsi="Times New Roman" w:cs="Times New Roman"/>
          <w:sz w:val="24"/>
          <w:szCs w:val="24"/>
          <w:lang w:eastAsia="en-GB"/>
        </w:rPr>
        <w:t>programme</w:t>
      </w:r>
      <w:r w:rsidRPr="00FD5808">
        <w:rPr>
          <w:rFonts w:ascii="Times New Roman" w:hAnsi="Times New Roman" w:cs="Times New Roman"/>
          <w:sz w:val="24"/>
          <w:szCs w:val="24"/>
          <w:lang w:eastAsia="en-GB"/>
        </w:rPr>
        <w:t xml:space="preserve"> in April 2021, the MoHW </w:t>
      </w:r>
      <w:r w:rsidR="00BF0622" w:rsidRPr="00FD5808">
        <w:rPr>
          <w:rFonts w:ascii="Times New Roman" w:hAnsi="Times New Roman" w:cs="Times New Roman"/>
          <w:sz w:val="24"/>
          <w:szCs w:val="24"/>
          <w:lang w:eastAsia="en-GB"/>
        </w:rPr>
        <w:t xml:space="preserve">reported two </w:t>
      </w:r>
      <w:r w:rsidRPr="00FD5808">
        <w:rPr>
          <w:rFonts w:ascii="Times New Roman" w:hAnsi="Times New Roman" w:cs="Times New Roman"/>
          <w:sz w:val="24"/>
          <w:szCs w:val="24"/>
          <w:lang w:eastAsia="en-GB"/>
        </w:rPr>
        <w:t>anaphylactic reactions.</w:t>
      </w:r>
      <w:r w:rsidR="00FD5808">
        <w:rPr>
          <w:rFonts w:ascii="Times New Roman" w:hAnsi="Times New Roman" w:cs="Times New Roman"/>
          <w:sz w:val="24"/>
          <w:szCs w:val="24"/>
          <w:lang w:eastAsia="en-GB"/>
        </w:rPr>
        <w:t xml:space="preserve"> </w:t>
      </w:r>
      <w:r w:rsidR="00BF0622" w:rsidRPr="00FD5808">
        <w:rPr>
          <w:rFonts w:ascii="Times New Roman" w:hAnsi="Times New Roman" w:cs="Times New Roman"/>
          <w:sz w:val="24"/>
          <w:szCs w:val="24"/>
          <w:lang w:eastAsia="en-GB"/>
        </w:rPr>
        <w:t>(J</w:t>
      </w:r>
      <w:r w:rsidR="00E25F44">
        <w:rPr>
          <w:rFonts w:ascii="Times New Roman" w:hAnsi="Times New Roman" w:cs="Times New Roman"/>
          <w:sz w:val="24"/>
          <w:szCs w:val="24"/>
          <w:lang w:eastAsia="en-GB"/>
        </w:rPr>
        <w:t>IS, n.d.</w:t>
      </w:r>
      <w:r w:rsidR="00BF0622" w:rsidRPr="00FD5808">
        <w:rPr>
          <w:rFonts w:ascii="Times New Roman" w:hAnsi="Times New Roman" w:cs="Times New Roman"/>
          <w:sz w:val="24"/>
          <w:szCs w:val="24"/>
          <w:lang w:eastAsia="en-GB"/>
        </w:rPr>
        <w:t xml:space="preserve">)  In 2022, </w:t>
      </w:r>
      <w:r w:rsidRPr="00FD5808">
        <w:rPr>
          <w:rFonts w:ascii="Times New Roman" w:hAnsi="Times New Roman" w:cs="Times New Roman"/>
          <w:sz w:val="24"/>
          <w:szCs w:val="24"/>
          <w:lang w:eastAsia="en-GB"/>
        </w:rPr>
        <w:t xml:space="preserve">since the introduction of COVID-19 vaccines, Jamaica </w:t>
      </w:r>
      <w:r w:rsidR="00BF0622" w:rsidRPr="00FD5808">
        <w:rPr>
          <w:rFonts w:ascii="Times New Roman" w:hAnsi="Times New Roman" w:cs="Times New Roman"/>
          <w:sz w:val="24"/>
          <w:szCs w:val="24"/>
          <w:lang w:eastAsia="en-GB"/>
        </w:rPr>
        <w:t>saw</w:t>
      </w:r>
      <w:r w:rsidRPr="00FD5808">
        <w:rPr>
          <w:rFonts w:ascii="Times New Roman" w:hAnsi="Times New Roman" w:cs="Times New Roman"/>
          <w:sz w:val="24"/>
          <w:szCs w:val="24"/>
          <w:lang w:eastAsia="en-GB"/>
        </w:rPr>
        <w:t xml:space="preserve"> a 633% increase in adv</w:t>
      </w:r>
      <w:r w:rsidR="00BF0622" w:rsidRPr="00FD5808">
        <w:rPr>
          <w:rFonts w:ascii="Times New Roman" w:hAnsi="Times New Roman" w:cs="Times New Roman"/>
          <w:sz w:val="24"/>
          <w:szCs w:val="24"/>
          <w:lang w:eastAsia="en-GB"/>
        </w:rPr>
        <w:t xml:space="preserve">erse events related to COVID-19. </w:t>
      </w:r>
      <w:r w:rsidRPr="00FD5808">
        <w:rPr>
          <w:rFonts w:ascii="Times New Roman" w:hAnsi="Times New Roman" w:cs="Times New Roman"/>
          <w:sz w:val="24"/>
          <w:szCs w:val="24"/>
          <w:lang w:eastAsia="en-GB"/>
        </w:rPr>
        <w:t>Th</w:t>
      </w:r>
      <w:r w:rsidR="002A1D58">
        <w:rPr>
          <w:rFonts w:ascii="Times New Roman" w:hAnsi="Times New Roman" w:cs="Times New Roman"/>
          <w:sz w:val="24"/>
          <w:szCs w:val="24"/>
          <w:lang w:eastAsia="en-GB"/>
        </w:rPr>
        <w:t>is indicates a need to strengthen the current pharmacovigilance program</w:t>
      </w:r>
      <w:r w:rsidRPr="00FD5808">
        <w:rPr>
          <w:rFonts w:ascii="Times New Roman" w:hAnsi="Times New Roman" w:cs="Times New Roman"/>
          <w:sz w:val="24"/>
          <w:szCs w:val="24"/>
          <w:lang w:eastAsia="en-GB"/>
        </w:rPr>
        <w:t>me for the robust monitoring system required for the vaccines.</w:t>
      </w:r>
      <w:r w:rsidR="00F657EF" w:rsidRPr="00FD5808">
        <w:rPr>
          <w:rFonts w:ascii="Times New Roman" w:hAnsi="Times New Roman" w:cs="Times New Roman"/>
          <w:sz w:val="24"/>
          <w:szCs w:val="24"/>
          <w:lang w:eastAsia="en-GB"/>
        </w:rPr>
        <w:t xml:space="preserve"> </w:t>
      </w:r>
      <w:r w:rsidR="00342E1D" w:rsidRPr="00FD5808">
        <w:rPr>
          <w:rFonts w:ascii="Times New Roman" w:hAnsi="Times New Roman" w:cs="Times New Roman"/>
          <w:sz w:val="24"/>
          <w:szCs w:val="24"/>
          <w:lang w:eastAsia="en-GB"/>
        </w:rPr>
        <w:t>(PAHO</w:t>
      </w:r>
      <w:r w:rsidR="00BB5730" w:rsidRPr="00FD5808">
        <w:rPr>
          <w:rFonts w:ascii="Times New Roman" w:hAnsi="Times New Roman" w:cs="Times New Roman"/>
          <w:sz w:val="24"/>
          <w:szCs w:val="24"/>
          <w:lang w:eastAsia="en-GB"/>
        </w:rPr>
        <w:t xml:space="preserve"> 2022</w:t>
      </w:r>
      <w:r w:rsidR="00342E1D" w:rsidRPr="00FD580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w:t>
      </w:r>
      <w:r w:rsidR="00F657EF" w:rsidRPr="00FD5808">
        <w:rPr>
          <w:rFonts w:ascii="Times New Roman" w:hAnsi="Times New Roman" w:cs="Times New Roman"/>
          <w:sz w:val="24"/>
          <w:szCs w:val="24"/>
          <w:lang w:eastAsia="en-GB"/>
        </w:rPr>
        <w:t>D</w:t>
      </w:r>
      <w:r w:rsidRPr="00FD5808">
        <w:rPr>
          <w:rFonts w:ascii="Times New Roman" w:hAnsi="Times New Roman" w:cs="Times New Roman"/>
          <w:sz w:val="24"/>
          <w:szCs w:val="24"/>
          <w:lang w:eastAsia="en-GB"/>
        </w:rPr>
        <w:t xml:space="preserve">ata </w:t>
      </w:r>
      <w:r w:rsidR="00FD5808" w:rsidRPr="00FD5808">
        <w:rPr>
          <w:rFonts w:ascii="Times New Roman" w:hAnsi="Times New Roman" w:cs="Times New Roman"/>
          <w:sz w:val="24"/>
          <w:szCs w:val="24"/>
          <w:lang w:eastAsia="en-GB"/>
        </w:rPr>
        <w:t xml:space="preserve">published by </w:t>
      </w:r>
      <w:r w:rsidR="00F657EF" w:rsidRPr="00FD5808">
        <w:rPr>
          <w:rFonts w:ascii="Times New Roman" w:hAnsi="Times New Roman" w:cs="Times New Roman"/>
          <w:sz w:val="24"/>
          <w:szCs w:val="24"/>
          <w:lang w:eastAsia="en-GB"/>
        </w:rPr>
        <w:t>PAHO</w:t>
      </w:r>
      <w:r w:rsidR="00BB5730" w:rsidRPr="00FD5808">
        <w:rPr>
          <w:rFonts w:ascii="Times New Roman" w:hAnsi="Times New Roman" w:cs="Times New Roman"/>
          <w:sz w:val="24"/>
          <w:szCs w:val="24"/>
          <w:lang w:eastAsia="en-GB"/>
        </w:rPr>
        <w:t xml:space="preserve"> </w:t>
      </w:r>
      <w:r w:rsidR="00FD5808" w:rsidRPr="00FD5808">
        <w:rPr>
          <w:rFonts w:ascii="Times New Roman" w:hAnsi="Times New Roman" w:cs="Times New Roman"/>
          <w:sz w:val="24"/>
          <w:szCs w:val="24"/>
          <w:lang w:eastAsia="en-GB"/>
        </w:rPr>
        <w:t xml:space="preserve">in </w:t>
      </w:r>
      <w:r w:rsidR="00BB5730" w:rsidRPr="00FD5808">
        <w:rPr>
          <w:rFonts w:ascii="Times New Roman" w:hAnsi="Times New Roman" w:cs="Times New Roman"/>
          <w:sz w:val="24"/>
          <w:szCs w:val="24"/>
          <w:lang w:eastAsia="en-GB"/>
        </w:rPr>
        <w:t>2021</w:t>
      </w:r>
      <w:r w:rsidR="00F657EF" w:rsidRPr="00FD5808">
        <w:rPr>
          <w:rFonts w:ascii="Times New Roman" w:hAnsi="Times New Roman" w:cs="Times New Roman"/>
          <w:sz w:val="24"/>
          <w:szCs w:val="24"/>
          <w:lang w:eastAsia="en-GB"/>
        </w:rPr>
        <w:t xml:space="preserve"> also </w:t>
      </w:r>
      <w:r w:rsidRPr="00FD5808">
        <w:rPr>
          <w:rFonts w:ascii="Times New Roman" w:hAnsi="Times New Roman" w:cs="Times New Roman"/>
          <w:sz w:val="24"/>
          <w:szCs w:val="24"/>
          <w:lang w:eastAsia="en-GB"/>
        </w:rPr>
        <w:t>indicate that Jamaica has active surveillance occurring.</w:t>
      </w:r>
      <w:r w:rsidR="00E25F44">
        <w:rPr>
          <w:rFonts w:ascii="Times New Roman" w:hAnsi="Times New Roman" w:cs="Times New Roman"/>
          <w:sz w:val="24"/>
          <w:szCs w:val="24"/>
          <w:lang w:eastAsia="en-GB"/>
        </w:rPr>
        <w:t xml:space="preserve"> (DIS TV, 2021)</w:t>
      </w:r>
      <w:r w:rsidRPr="00FD5808">
        <w:rPr>
          <w:rFonts w:ascii="Times New Roman" w:hAnsi="Times New Roman" w:cs="Times New Roman"/>
          <w:sz w:val="24"/>
          <w:szCs w:val="24"/>
          <w:lang w:eastAsia="en-GB"/>
        </w:rPr>
        <w:t xml:space="preserve"> The national COVID-19 AEFI reports accounted for 60.1% of the total of CARICOM countries reporting to VigiBase </w:t>
      </w:r>
      <w:r w:rsidR="00372828" w:rsidRPr="00FD5808">
        <w:rPr>
          <w:rFonts w:ascii="Times New Roman" w:hAnsi="Times New Roman" w:cs="Times New Roman"/>
          <w:sz w:val="24"/>
          <w:szCs w:val="24"/>
          <w:lang w:eastAsia="en-GB"/>
        </w:rPr>
        <w:t>(Figure 3</w:t>
      </w:r>
      <w:r w:rsidRPr="00FD5808">
        <w:rPr>
          <w:rFonts w:ascii="Times New Roman" w:hAnsi="Times New Roman" w:cs="Times New Roman"/>
          <w:sz w:val="24"/>
          <w:szCs w:val="24"/>
          <w:lang w:eastAsia="en-GB"/>
        </w:rPr>
        <w:t xml:space="preserve">). </w:t>
      </w:r>
    </w:p>
    <w:p w14:paraId="3A16AA4D" w14:textId="02D244E6" w:rsidR="00372828" w:rsidRPr="00FD5808" w:rsidRDefault="00372828" w:rsidP="00E66FFE">
      <w:pPr>
        <w:rPr>
          <w:rFonts w:ascii="Times New Roman" w:hAnsi="Times New Roman" w:cs="Times New Roman"/>
          <w:sz w:val="24"/>
          <w:szCs w:val="24"/>
          <w:lang w:eastAsia="en-GB"/>
        </w:rPr>
        <w:sectPr w:rsidR="00372828" w:rsidRPr="00FD5808" w:rsidSect="00A5472E">
          <w:type w:val="continuous"/>
          <w:pgSz w:w="12240" w:h="15840"/>
          <w:pgMar w:top="1440" w:right="1440" w:bottom="1440" w:left="1440" w:header="720" w:footer="720" w:gutter="0"/>
          <w:cols w:num="2" w:space="720"/>
          <w:docGrid w:linePitch="360"/>
        </w:sectPr>
      </w:pPr>
    </w:p>
    <w:p w14:paraId="7D1E5B37" w14:textId="77777777" w:rsidR="00FD5808" w:rsidRDefault="00FD5808" w:rsidP="00E66FFE">
      <w:pPr>
        <w:rPr>
          <w:rFonts w:ascii="Times New Roman" w:hAnsi="Times New Roman" w:cs="Times New Roman"/>
          <w:sz w:val="24"/>
          <w:szCs w:val="24"/>
          <w:lang w:eastAsia="en-GB"/>
        </w:rPr>
      </w:pPr>
    </w:p>
    <w:p w14:paraId="24A1A2BE" w14:textId="725F8155" w:rsidR="00372828" w:rsidRPr="00FD5808" w:rsidRDefault="00372828"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Table 2: COVID-19 Vaccines AEFI Reporting Forms in the four selected CARICOM countries.</w:t>
      </w:r>
    </w:p>
    <w:tbl>
      <w:tblPr>
        <w:tblStyle w:val="GridTable4"/>
        <w:tblW w:w="9851" w:type="dxa"/>
        <w:jc w:val="center"/>
        <w:tblLook w:val="04A0" w:firstRow="1" w:lastRow="0" w:firstColumn="1" w:lastColumn="0" w:noHBand="0" w:noVBand="1"/>
      </w:tblPr>
      <w:tblGrid>
        <w:gridCol w:w="3155"/>
        <w:gridCol w:w="1529"/>
        <w:gridCol w:w="910"/>
        <w:gridCol w:w="4257"/>
      </w:tblGrid>
      <w:tr w:rsidR="00372828" w:rsidRPr="00FD5808" w14:paraId="3213D889" w14:textId="77777777" w:rsidTr="000B1D9C">
        <w:trPr>
          <w:cnfStyle w:val="100000000000" w:firstRow="1" w:lastRow="0" w:firstColumn="0" w:lastColumn="0" w:oddVBand="0" w:evenVBand="0" w:oddHBand="0"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3174" w:type="dxa"/>
          </w:tcPr>
          <w:p w14:paraId="66340EE5" w14:textId="77777777" w:rsidR="00372828" w:rsidRPr="00FD5808" w:rsidRDefault="00372828" w:rsidP="008B5D7F">
            <w:pPr>
              <w:pStyle w:val="Heading1"/>
              <w:spacing w:line="360" w:lineRule="auto"/>
              <w:outlineLvl w:val="0"/>
              <w:rPr>
                <w:b/>
                <w:bCs w:val="0"/>
                <w:lang w:val="en-GB"/>
              </w:rPr>
            </w:pPr>
            <w:bookmarkStart w:id="2" w:name="_GoBack"/>
            <w:r w:rsidRPr="00FD5808">
              <w:rPr>
                <w:b/>
                <w:lang w:val="en-GB"/>
              </w:rPr>
              <w:t>Country</w:t>
            </w:r>
          </w:p>
        </w:tc>
        <w:tc>
          <w:tcPr>
            <w:tcW w:w="1535" w:type="dxa"/>
          </w:tcPr>
          <w:p w14:paraId="762C43F3" w14:textId="77777777" w:rsidR="00372828" w:rsidRPr="00FD5808" w:rsidRDefault="00372828" w:rsidP="008B5D7F">
            <w:pPr>
              <w:pStyle w:val="Heading1"/>
              <w:spacing w:line="360" w:lineRule="auto"/>
              <w:outlineLvl w:val="0"/>
              <w:cnfStyle w:val="100000000000" w:firstRow="1" w:lastRow="0" w:firstColumn="0" w:lastColumn="0" w:oddVBand="0" w:evenVBand="0" w:oddHBand="0" w:evenHBand="0" w:firstRowFirstColumn="0" w:firstRowLastColumn="0" w:lastRowFirstColumn="0" w:lastRowLastColumn="0"/>
              <w:rPr>
                <w:b/>
                <w:bCs w:val="0"/>
                <w:lang w:val="en-GB"/>
              </w:rPr>
            </w:pPr>
            <w:r w:rsidRPr="00FD5808">
              <w:rPr>
                <w:b/>
                <w:lang w:val="en-GB"/>
              </w:rPr>
              <w:t>Paper-based</w:t>
            </w:r>
          </w:p>
        </w:tc>
        <w:tc>
          <w:tcPr>
            <w:tcW w:w="856" w:type="dxa"/>
          </w:tcPr>
          <w:p w14:paraId="1B37BC89" w14:textId="77777777" w:rsidR="00372828" w:rsidRPr="00FD5808" w:rsidRDefault="00372828" w:rsidP="008B5D7F">
            <w:pPr>
              <w:pStyle w:val="Heading1"/>
              <w:spacing w:line="360" w:lineRule="auto"/>
              <w:outlineLvl w:val="0"/>
              <w:cnfStyle w:val="100000000000" w:firstRow="1" w:lastRow="0" w:firstColumn="0" w:lastColumn="0" w:oddVBand="0" w:evenVBand="0" w:oddHBand="0" w:evenHBand="0" w:firstRowFirstColumn="0" w:firstRowLastColumn="0" w:lastRowFirstColumn="0" w:lastRowLastColumn="0"/>
              <w:rPr>
                <w:b/>
                <w:bCs w:val="0"/>
                <w:lang w:val="en-GB"/>
              </w:rPr>
            </w:pPr>
            <w:r w:rsidRPr="00FD5808">
              <w:rPr>
                <w:b/>
                <w:lang w:val="en-GB"/>
              </w:rPr>
              <w:t>Online</w:t>
            </w:r>
          </w:p>
        </w:tc>
        <w:tc>
          <w:tcPr>
            <w:tcW w:w="4286" w:type="dxa"/>
          </w:tcPr>
          <w:p w14:paraId="4448A5F7" w14:textId="77777777" w:rsidR="00372828" w:rsidRPr="00FD5808" w:rsidRDefault="00372828" w:rsidP="008B5D7F">
            <w:pPr>
              <w:pStyle w:val="Heading1"/>
              <w:spacing w:line="360" w:lineRule="auto"/>
              <w:outlineLvl w:val="0"/>
              <w:cnfStyle w:val="100000000000" w:firstRow="1" w:lastRow="0" w:firstColumn="0" w:lastColumn="0" w:oddVBand="0" w:evenVBand="0" w:oddHBand="0" w:evenHBand="0" w:firstRowFirstColumn="0" w:firstRowLastColumn="0" w:lastRowFirstColumn="0" w:lastRowLastColumn="0"/>
              <w:rPr>
                <w:b/>
                <w:bCs w:val="0"/>
                <w:lang w:val="en-GB"/>
              </w:rPr>
            </w:pPr>
            <w:r w:rsidRPr="00FD5808">
              <w:rPr>
                <w:b/>
                <w:lang w:val="en-GB"/>
              </w:rPr>
              <w:t>Voluntary Reporting</w:t>
            </w:r>
          </w:p>
        </w:tc>
      </w:tr>
      <w:tr w:rsidR="00372828" w:rsidRPr="00FD5808" w14:paraId="5BC22CB9" w14:textId="77777777" w:rsidTr="000B1D9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3174" w:type="dxa"/>
          </w:tcPr>
          <w:p w14:paraId="3E66D783" w14:textId="77777777" w:rsidR="00372828" w:rsidRPr="00FD5808" w:rsidRDefault="00372828" w:rsidP="008B5D7F">
            <w:pPr>
              <w:pStyle w:val="Heading1"/>
              <w:spacing w:line="360" w:lineRule="auto"/>
              <w:outlineLvl w:val="0"/>
              <w:rPr>
                <w:lang w:val="en-GB"/>
              </w:rPr>
            </w:pPr>
            <w:r w:rsidRPr="00FD5808">
              <w:rPr>
                <w:lang w:val="en-GB"/>
              </w:rPr>
              <w:t>Barbados</w:t>
            </w:r>
          </w:p>
        </w:tc>
        <w:tc>
          <w:tcPr>
            <w:tcW w:w="1535" w:type="dxa"/>
          </w:tcPr>
          <w:p w14:paraId="0A668AF8"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lang w:val="en-GB"/>
              </w:rPr>
            </w:pPr>
          </w:p>
        </w:tc>
        <w:tc>
          <w:tcPr>
            <w:tcW w:w="856" w:type="dxa"/>
          </w:tcPr>
          <w:p w14:paraId="1AEDFF6C"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lang w:val="en-GB"/>
              </w:rPr>
            </w:pPr>
            <w:r w:rsidRPr="00FD5808">
              <w:rPr>
                <w:lang w:val="en-GB"/>
              </w:rPr>
              <w:t>x</w:t>
            </w:r>
          </w:p>
        </w:tc>
        <w:tc>
          <w:tcPr>
            <w:tcW w:w="4286" w:type="dxa"/>
          </w:tcPr>
          <w:p w14:paraId="376C95F8"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b w:val="0"/>
                <w:bCs/>
                <w:lang w:val="en-GB"/>
              </w:rPr>
            </w:pPr>
            <w:r w:rsidRPr="00FD5808">
              <w:rPr>
                <w:b w:val="0"/>
                <w:lang w:val="en-GB"/>
              </w:rPr>
              <w:t>Healthcare Professionals and Public</w:t>
            </w:r>
          </w:p>
        </w:tc>
      </w:tr>
      <w:tr w:rsidR="00372828" w:rsidRPr="00FD5808" w14:paraId="1634D88A" w14:textId="77777777" w:rsidTr="000B1D9C">
        <w:trPr>
          <w:trHeight w:val="220"/>
          <w:jc w:val="center"/>
        </w:trPr>
        <w:tc>
          <w:tcPr>
            <w:cnfStyle w:val="001000000000" w:firstRow="0" w:lastRow="0" w:firstColumn="1" w:lastColumn="0" w:oddVBand="0" w:evenVBand="0" w:oddHBand="0" w:evenHBand="0" w:firstRowFirstColumn="0" w:firstRowLastColumn="0" w:lastRowFirstColumn="0" w:lastRowLastColumn="0"/>
            <w:tcW w:w="3174" w:type="dxa"/>
          </w:tcPr>
          <w:p w14:paraId="433AA90C" w14:textId="77777777" w:rsidR="00372828" w:rsidRPr="00FD5808" w:rsidRDefault="00372828" w:rsidP="008B5D7F">
            <w:pPr>
              <w:pStyle w:val="Heading1"/>
              <w:spacing w:line="360" w:lineRule="auto"/>
              <w:outlineLvl w:val="0"/>
              <w:rPr>
                <w:lang w:val="en-GB"/>
              </w:rPr>
            </w:pPr>
            <w:r w:rsidRPr="00FD5808">
              <w:rPr>
                <w:lang w:val="en-GB"/>
              </w:rPr>
              <w:t>Haiti</w:t>
            </w:r>
          </w:p>
        </w:tc>
        <w:tc>
          <w:tcPr>
            <w:tcW w:w="1535" w:type="dxa"/>
          </w:tcPr>
          <w:p w14:paraId="3C740428"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r w:rsidRPr="00FD5808">
              <w:rPr>
                <w:lang w:val="en-GB"/>
              </w:rPr>
              <w:t>x</w:t>
            </w:r>
          </w:p>
        </w:tc>
        <w:tc>
          <w:tcPr>
            <w:tcW w:w="856" w:type="dxa"/>
          </w:tcPr>
          <w:p w14:paraId="49D0415B"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p>
        </w:tc>
        <w:tc>
          <w:tcPr>
            <w:tcW w:w="4286" w:type="dxa"/>
          </w:tcPr>
          <w:p w14:paraId="55681D32"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r w:rsidRPr="00FD5808">
              <w:rPr>
                <w:b w:val="0"/>
                <w:lang w:val="en-GB"/>
              </w:rPr>
              <w:t>Healthcare Professionals and Public</w:t>
            </w:r>
          </w:p>
        </w:tc>
      </w:tr>
      <w:tr w:rsidR="00372828" w:rsidRPr="00FD5808" w14:paraId="7C177680" w14:textId="77777777" w:rsidTr="000B1D9C">
        <w:trPr>
          <w:cnfStyle w:val="000000100000" w:firstRow="0" w:lastRow="0" w:firstColumn="0" w:lastColumn="0" w:oddVBand="0" w:evenVBand="0" w:oddHBand="1" w:evenHBand="0" w:firstRowFirstColumn="0" w:firstRowLastColumn="0" w:lastRowFirstColumn="0" w:lastRowLastColumn="0"/>
          <w:trHeight w:val="220"/>
          <w:jc w:val="center"/>
        </w:trPr>
        <w:tc>
          <w:tcPr>
            <w:cnfStyle w:val="001000000000" w:firstRow="0" w:lastRow="0" w:firstColumn="1" w:lastColumn="0" w:oddVBand="0" w:evenVBand="0" w:oddHBand="0" w:evenHBand="0" w:firstRowFirstColumn="0" w:firstRowLastColumn="0" w:lastRowFirstColumn="0" w:lastRowLastColumn="0"/>
            <w:tcW w:w="3174" w:type="dxa"/>
          </w:tcPr>
          <w:p w14:paraId="0463E3A7" w14:textId="77777777" w:rsidR="00372828" w:rsidRPr="00FD5808" w:rsidRDefault="00372828" w:rsidP="008B5D7F">
            <w:pPr>
              <w:pStyle w:val="Heading1"/>
              <w:spacing w:line="360" w:lineRule="auto"/>
              <w:outlineLvl w:val="0"/>
              <w:rPr>
                <w:lang w:val="en-GB"/>
              </w:rPr>
            </w:pPr>
            <w:r w:rsidRPr="00FD5808">
              <w:rPr>
                <w:lang w:val="en-GB"/>
              </w:rPr>
              <w:t>Jamaica</w:t>
            </w:r>
          </w:p>
        </w:tc>
        <w:tc>
          <w:tcPr>
            <w:tcW w:w="1535" w:type="dxa"/>
          </w:tcPr>
          <w:p w14:paraId="07213605"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lang w:val="en-GB"/>
              </w:rPr>
            </w:pPr>
            <w:r w:rsidRPr="00FD5808">
              <w:rPr>
                <w:lang w:val="en-GB"/>
              </w:rPr>
              <w:t>x</w:t>
            </w:r>
          </w:p>
        </w:tc>
        <w:tc>
          <w:tcPr>
            <w:tcW w:w="856" w:type="dxa"/>
          </w:tcPr>
          <w:p w14:paraId="202201B6"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lang w:val="en-GB"/>
              </w:rPr>
            </w:pPr>
          </w:p>
        </w:tc>
        <w:tc>
          <w:tcPr>
            <w:tcW w:w="4286" w:type="dxa"/>
          </w:tcPr>
          <w:p w14:paraId="53A856D1" w14:textId="77777777" w:rsidR="00372828" w:rsidRPr="00FD5808" w:rsidRDefault="00372828" w:rsidP="008B5D7F">
            <w:pPr>
              <w:pStyle w:val="Heading1"/>
              <w:spacing w:line="360" w:lineRule="auto"/>
              <w:outlineLvl w:val="0"/>
              <w:cnfStyle w:val="000000100000" w:firstRow="0" w:lastRow="0" w:firstColumn="0" w:lastColumn="0" w:oddVBand="0" w:evenVBand="0" w:oddHBand="1" w:evenHBand="0" w:firstRowFirstColumn="0" w:firstRowLastColumn="0" w:lastRowFirstColumn="0" w:lastRowLastColumn="0"/>
              <w:rPr>
                <w:lang w:val="en-GB"/>
              </w:rPr>
            </w:pPr>
            <w:r w:rsidRPr="00FD5808">
              <w:rPr>
                <w:b w:val="0"/>
                <w:lang w:val="en-GB"/>
              </w:rPr>
              <w:t>Healthcare Professionals and Public</w:t>
            </w:r>
          </w:p>
        </w:tc>
      </w:tr>
      <w:tr w:rsidR="00372828" w:rsidRPr="00FD5808" w14:paraId="2BD53D8E" w14:textId="77777777" w:rsidTr="000B1D9C">
        <w:trPr>
          <w:trHeight w:val="449"/>
          <w:jc w:val="center"/>
        </w:trPr>
        <w:tc>
          <w:tcPr>
            <w:cnfStyle w:val="001000000000" w:firstRow="0" w:lastRow="0" w:firstColumn="1" w:lastColumn="0" w:oddVBand="0" w:evenVBand="0" w:oddHBand="0" w:evenHBand="0" w:firstRowFirstColumn="0" w:firstRowLastColumn="0" w:lastRowFirstColumn="0" w:lastRowLastColumn="0"/>
            <w:tcW w:w="3174" w:type="dxa"/>
          </w:tcPr>
          <w:p w14:paraId="2B29FFE4" w14:textId="77777777" w:rsidR="00372828" w:rsidRPr="00FD5808" w:rsidRDefault="00372828" w:rsidP="008B5D7F">
            <w:pPr>
              <w:pStyle w:val="Heading1"/>
              <w:spacing w:line="360" w:lineRule="auto"/>
              <w:outlineLvl w:val="0"/>
              <w:rPr>
                <w:lang w:val="en-GB"/>
              </w:rPr>
            </w:pPr>
            <w:r w:rsidRPr="00FD5808">
              <w:rPr>
                <w:lang w:val="en-GB"/>
              </w:rPr>
              <w:t>St. Vincent and the Grenadines</w:t>
            </w:r>
          </w:p>
        </w:tc>
        <w:tc>
          <w:tcPr>
            <w:tcW w:w="1535" w:type="dxa"/>
          </w:tcPr>
          <w:p w14:paraId="054A9D2E"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p>
        </w:tc>
        <w:tc>
          <w:tcPr>
            <w:tcW w:w="856" w:type="dxa"/>
          </w:tcPr>
          <w:p w14:paraId="1A7CAEE7"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r w:rsidRPr="00FD5808">
              <w:rPr>
                <w:lang w:val="en-GB"/>
              </w:rPr>
              <w:t>x</w:t>
            </w:r>
          </w:p>
        </w:tc>
        <w:tc>
          <w:tcPr>
            <w:tcW w:w="4286" w:type="dxa"/>
          </w:tcPr>
          <w:p w14:paraId="3C4E8871" w14:textId="77777777" w:rsidR="00372828" w:rsidRPr="00FD5808" w:rsidRDefault="00372828" w:rsidP="008B5D7F">
            <w:pPr>
              <w:pStyle w:val="Heading1"/>
              <w:spacing w:line="360" w:lineRule="auto"/>
              <w:outlineLvl w:val="0"/>
              <w:cnfStyle w:val="000000000000" w:firstRow="0" w:lastRow="0" w:firstColumn="0" w:lastColumn="0" w:oddVBand="0" w:evenVBand="0" w:oddHBand="0" w:evenHBand="0" w:firstRowFirstColumn="0" w:firstRowLastColumn="0" w:lastRowFirstColumn="0" w:lastRowLastColumn="0"/>
              <w:rPr>
                <w:lang w:val="en-GB"/>
              </w:rPr>
            </w:pPr>
            <w:r w:rsidRPr="00FD5808">
              <w:rPr>
                <w:b w:val="0"/>
                <w:lang w:val="en-GB"/>
              </w:rPr>
              <w:t>Healthcare Professionals and Public</w:t>
            </w:r>
          </w:p>
        </w:tc>
      </w:tr>
      <w:bookmarkEnd w:id="2"/>
    </w:tbl>
    <w:p w14:paraId="3C97C56D" w14:textId="77777777" w:rsidR="00372828" w:rsidRPr="00FD5808" w:rsidRDefault="00372828" w:rsidP="00E66FFE">
      <w:pPr>
        <w:rPr>
          <w:rFonts w:ascii="Times New Roman" w:hAnsi="Times New Roman" w:cs="Times New Roman"/>
          <w:sz w:val="24"/>
          <w:szCs w:val="24"/>
          <w:lang w:eastAsia="en-GB"/>
        </w:rPr>
      </w:pPr>
    </w:p>
    <w:p w14:paraId="3823F54A" w14:textId="77777777" w:rsidR="00372828" w:rsidRPr="00FD5808" w:rsidRDefault="00372828" w:rsidP="00E66FFE">
      <w:pPr>
        <w:rPr>
          <w:rFonts w:ascii="Times New Roman" w:hAnsi="Times New Roman" w:cs="Times New Roman"/>
          <w:sz w:val="24"/>
          <w:szCs w:val="24"/>
          <w:lang w:eastAsia="en-GB"/>
        </w:rPr>
        <w:sectPr w:rsidR="00372828" w:rsidRPr="00FD5808" w:rsidSect="00432439">
          <w:type w:val="continuous"/>
          <w:pgSz w:w="12240" w:h="15840"/>
          <w:pgMar w:top="1440" w:right="1440" w:bottom="1440" w:left="1440" w:header="720" w:footer="720" w:gutter="0"/>
          <w:cols w:space="720"/>
          <w:docGrid w:linePitch="360"/>
        </w:sectPr>
      </w:pPr>
    </w:p>
    <w:p w14:paraId="7FA707DE" w14:textId="1851B490"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Although </w:t>
      </w:r>
      <w:r w:rsidR="002A1D58">
        <w:rPr>
          <w:rFonts w:ascii="Times New Roman" w:hAnsi="Times New Roman" w:cs="Times New Roman"/>
          <w:sz w:val="24"/>
          <w:szCs w:val="24"/>
          <w:lang w:eastAsia="en-GB"/>
        </w:rPr>
        <w:t>there is no identified legislation on adverse event reporting in St. Vincent and the Grenadines</w:t>
      </w:r>
      <w:r w:rsidRPr="00FD5808">
        <w:rPr>
          <w:rFonts w:ascii="Times New Roman" w:hAnsi="Times New Roman" w:cs="Times New Roman"/>
          <w:sz w:val="24"/>
          <w:szCs w:val="24"/>
          <w:lang w:eastAsia="en-GB"/>
        </w:rPr>
        <w:t xml:space="preserve">, the Public Health (Emergency Authorisation of COVID-19 Vaccine) Rules, 2021 listed the vaccines </w:t>
      </w:r>
      <w:r w:rsidR="002A1D58">
        <w:rPr>
          <w:rFonts w:ascii="Times New Roman" w:hAnsi="Times New Roman" w:cs="Times New Roman"/>
          <w:sz w:val="24"/>
          <w:szCs w:val="24"/>
          <w:lang w:eastAsia="en-GB"/>
        </w:rPr>
        <w:t>that</w:t>
      </w:r>
      <w:r w:rsidRPr="00FD5808">
        <w:rPr>
          <w:rFonts w:ascii="Times New Roman" w:hAnsi="Times New Roman" w:cs="Times New Roman"/>
          <w:sz w:val="24"/>
          <w:szCs w:val="24"/>
          <w:lang w:eastAsia="en-GB"/>
        </w:rPr>
        <w:t xml:space="preserve"> were authorized for COVID-19</w:t>
      </w:r>
      <w:r w:rsidR="00E25F44">
        <w:rPr>
          <w:rFonts w:ascii="Times New Roman" w:hAnsi="Times New Roman" w:cs="Times New Roman"/>
          <w:sz w:val="24"/>
          <w:szCs w:val="24"/>
          <w:lang w:eastAsia="en-GB"/>
        </w:rPr>
        <w:t xml:space="preserve">. </w:t>
      </w:r>
      <w:r w:rsidRPr="00FD5808">
        <w:rPr>
          <w:rFonts w:ascii="Times New Roman" w:hAnsi="Times New Roman" w:cs="Times New Roman"/>
          <w:sz w:val="24"/>
          <w:szCs w:val="24"/>
          <w:lang w:eastAsia="en-GB"/>
        </w:rPr>
        <w:t>S</w:t>
      </w:r>
      <w:r w:rsidR="00E25F44">
        <w:rPr>
          <w:rFonts w:ascii="Times New Roman" w:hAnsi="Times New Roman" w:cs="Times New Roman"/>
          <w:sz w:val="24"/>
          <w:szCs w:val="24"/>
          <w:lang w:eastAsia="en-GB"/>
        </w:rPr>
        <w:t>aint</w:t>
      </w:r>
      <w:r w:rsidRPr="00FD5808">
        <w:rPr>
          <w:rFonts w:ascii="Times New Roman" w:hAnsi="Times New Roman" w:cs="Times New Roman"/>
          <w:sz w:val="24"/>
          <w:szCs w:val="24"/>
          <w:lang w:eastAsia="en-GB"/>
        </w:rPr>
        <w:t xml:space="preserve"> Vincent and the Grenadines ha</w:t>
      </w:r>
      <w:r w:rsidR="002A1D58">
        <w:rPr>
          <w:rFonts w:ascii="Times New Roman" w:hAnsi="Times New Roman" w:cs="Times New Roman"/>
          <w:sz w:val="24"/>
          <w:szCs w:val="24"/>
          <w:lang w:eastAsia="en-GB"/>
        </w:rPr>
        <w:t>ve</w:t>
      </w:r>
      <w:r w:rsidRPr="00FD5808">
        <w:rPr>
          <w:rFonts w:ascii="Times New Roman" w:hAnsi="Times New Roman" w:cs="Times New Roman"/>
          <w:sz w:val="24"/>
          <w:szCs w:val="24"/>
          <w:lang w:eastAsia="en-GB"/>
        </w:rPr>
        <w:t xml:space="preserve"> used the UMC eReporting available via the VigiCarib website</w:t>
      </w:r>
      <w:r w:rsidR="00342E1D" w:rsidRPr="00FD5808">
        <w:rPr>
          <w:rFonts w:ascii="Times New Roman" w:hAnsi="Times New Roman" w:cs="Times New Roman"/>
          <w:sz w:val="24"/>
          <w:szCs w:val="24"/>
          <w:lang w:eastAsia="en-GB"/>
        </w:rPr>
        <w:t xml:space="preserve">.  </w:t>
      </w:r>
      <w:r w:rsidR="004244DA" w:rsidRPr="00FD5808">
        <w:rPr>
          <w:rFonts w:ascii="Times New Roman" w:hAnsi="Times New Roman" w:cs="Times New Roman"/>
          <w:sz w:val="24"/>
          <w:szCs w:val="24"/>
          <w:lang w:eastAsia="en-GB"/>
        </w:rPr>
        <w:t>Similarly</w:t>
      </w:r>
      <w:r w:rsidRPr="00FD5808">
        <w:rPr>
          <w:rFonts w:ascii="Times New Roman" w:hAnsi="Times New Roman" w:cs="Times New Roman"/>
          <w:sz w:val="24"/>
          <w:szCs w:val="24"/>
          <w:lang w:eastAsia="en-GB"/>
        </w:rPr>
        <w:t xml:space="preserve">, Haiti has an AEFI reporting form available online that needs to be downloaded </w:t>
      </w:r>
      <w:r w:rsidR="00342E1D" w:rsidRPr="00FD5808">
        <w:rPr>
          <w:rFonts w:ascii="Times New Roman" w:hAnsi="Times New Roman" w:cs="Times New Roman"/>
          <w:sz w:val="24"/>
          <w:szCs w:val="24"/>
          <w:lang w:eastAsia="en-GB"/>
        </w:rPr>
        <w:t xml:space="preserve">and </w:t>
      </w:r>
      <w:r w:rsidRPr="00FD5808">
        <w:rPr>
          <w:rFonts w:ascii="Times New Roman" w:hAnsi="Times New Roman" w:cs="Times New Roman"/>
          <w:sz w:val="24"/>
          <w:szCs w:val="24"/>
          <w:lang w:eastAsia="en-GB"/>
        </w:rPr>
        <w:t>then submitted to the authorities: notification des évènements indésirables des médicaments et autres produits de santé. For a summary of the type of reporting used for AEFI of COVID-19 Vaccines in the four selected CARICOM countries.</w:t>
      </w:r>
      <w:r w:rsidR="00372828" w:rsidRPr="00FD5808">
        <w:rPr>
          <w:rFonts w:ascii="Times New Roman" w:hAnsi="Times New Roman" w:cs="Times New Roman"/>
          <w:sz w:val="24"/>
          <w:szCs w:val="24"/>
          <w:lang w:eastAsia="en-GB"/>
        </w:rPr>
        <w:t xml:space="preserve"> (Table 2)</w:t>
      </w:r>
    </w:p>
    <w:p w14:paraId="71F97D70" w14:textId="0B4E1DAA" w:rsidR="00E25F44"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In the study by Oosterhuis, et. al. in The Netherlands, 33.1% of all ICSRs were processed fully automatically. Lareb counted with a daily triage in which 4.2% were marked as ‘high priority’; 62.7% as ‘low-priority’. The study indicated </w:t>
      </w:r>
      <w:r w:rsidR="00FD5808" w:rsidRPr="00FD5808">
        <w:rPr>
          <w:rFonts w:ascii="Times New Roman" w:hAnsi="Times New Roman" w:cs="Times New Roman"/>
          <w:sz w:val="24"/>
          <w:szCs w:val="24"/>
          <w:lang w:eastAsia="en-GB"/>
        </w:rPr>
        <w:t>that the</w:t>
      </w:r>
      <w:r w:rsidRPr="00FD5808">
        <w:rPr>
          <w:rFonts w:ascii="Times New Roman" w:hAnsi="Times New Roman" w:cs="Times New Roman"/>
          <w:sz w:val="24"/>
          <w:szCs w:val="24"/>
          <w:lang w:eastAsia="en-GB"/>
        </w:rPr>
        <w:t xml:space="preserve"> automatic processing of well-known AEFIs, the daily triage</w:t>
      </w:r>
      <w:r w:rsidR="002A1D5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and signal detection meetings, resulted in 99.9% of the ICSRs being processed within the compliance timeframe to the European Medicines Agency’s Eudravigilance online database.</w:t>
      </w:r>
      <w:r w:rsidR="00E22266" w:rsidRPr="00FD5808">
        <w:rPr>
          <w:rFonts w:ascii="Times New Roman" w:hAnsi="Times New Roman" w:cs="Times New Roman"/>
          <w:sz w:val="24"/>
          <w:szCs w:val="24"/>
          <w:lang w:eastAsia="en-GB"/>
        </w:rPr>
        <w:t xml:space="preserve"> </w:t>
      </w:r>
      <w:r w:rsidR="00E25F44">
        <w:rPr>
          <w:rFonts w:ascii="Times New Roman" w:hAnsi="Times New Roman" w:cs="Times New Roman"/>
          <w:sz w:val="24"/>
          <w:szCs w:val="24"/>
          <w:lang w:eastAsia="en-GB"/>
        </w:rPr>
        <w:t>(</w:t>
      </w:r>
      <w:r w:rsidR="00E25F44" w:rsidRPr="00FD5808">
        <w:rPr>
          <w:rFonts w:ascii="Times New Roman" w:hAnsi="Times New Roman" w:cs="Times New Roman"/>
          <w:sz w:val="24"/>
          <w:szCs w:val="24"/>
          <w:lang w:eastAsia="en-GB"/>
        </w:rPr>
        <w:t xml:space="preserve">Oosterhuis, et. al.2023) </w:t>
      </w:r>
    </w:p>
    <w:p w14:paraId="6A4A17DA" w14:textId="14ADFE17"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For the four Caribbean countries, the month with the greatest number of AEFI report</w:t>
      </w:r>
      <w:r w:rsidR="002A1D58">
        <w:rPr>
          <w:rFonts w:ascii="Times New Roman" w:hAnsi="Times New Roman" w:cs="Times New Roman"/>
          <w:sz w:val="24"/>
          <w:szCs w:val="24"/>
          <w:lang w:eastAsia="en-GB"/>
        </w:rPr>
        <w:t>s</w:t>
      </w:r>
      <w:r w:rsidRPr="00FD5808">
        <w:rPr>
          <w:rFonts w:ascii="Times New Roman" w:hAnsi="Times New Roman" w:cs="Times New Roman"/>
          <w:sz w:val="24"/>
          <w:szCs w:val="24"/>
          <w:lang w:eastAsia="en-GB"/>
        </w:rPr>
        <w:t xml:space="preserve"> occurred in April 2021, followed by November 2021, and generally a downward trend for the </w:t>
      </w:r>
      <w:r w:rsidR="002A1D58">
        <w:rPr>
          <w:rFonts w:ascii="Times New Roman" w:hAnsi="Times New Roman" w:cs="Times New Roman"/>
          <w:sz w:val="24"/>
          <w:szCs w:val="24"/>
          <w:lang w:eastAsia="en-GB"/>
        </w:rPr>
        <w:t>following months</w:t>
      </w:r>
      <w:r w:rsidRPr="00FD5808">
        <w:rPr>
          <w:rFonts w:ascii="Times New Roman" w:hAnsi="Times New Roman" w:cs="Times New Roman"/>
          <w:sz w:val="24"/>
          <w:szCs w:val="24"/>
          <w:lang w:eastAsia="en-GB"/>
        </w:rPr>
        <w:t>. The Caribbean Regulatory System indicated that this decrease in reporting of AEFIs may be due to multiple factors</w:t>
      </w:r>
      <w:r w:rsidR="002A1D58">
        <w:rPr>
          <w:rFonts w:ascii="Times New Roman" w:hAnsi="Times New Roman" w:cs="Times New Roman"/>
          <w:sz w:val="24"/>
          <w:szCs w:val="24"/>
          <w:lang w:eastAsia="en-GB"/>
        </w:rPr>
        <w:t>. It</w:t>
      </w:r>
      <w:r w:rsidRPr="00FD5808">
        <w:rPr>
          <w:rFonts w:ascii="Times New Roman" w:hAnsi="Times New Roman" w:cs="Times New Roman"/>
          <w:sz w:val="24"/>
          <w:szCs w:val="24"/>
          <w:lang w:eastAsia="en-GB"/>
        </w:rPr>
        <w:t xml:space="preserve"> highlighted the reduction in vaccinations, lack of visibility of reporting systems, and reduced risk </w:t>
      </w:r>
      <w:r w:rsidR="00A5472E" w:rsidRPr="00FD5808">
        <w:rPr>
          <w:rFonts w:ascii="Times New Roman" w:hAnsi="Times New Roman" w:cs="Times New Roman"/>
          <w:sz w:val="24"/>
          <w:szCs w:val="24"/>
          <w:lang w:eastAsia="en-GB"/>
        </w:rPr>
        <w:t xml:space="preserve">perception. </w:t>
      </w:r>
      <w:r w:rsidRPr="00FD5808">
        <w:rPr>
          <w:rFonts w:ascii="Times New Roman" w:hAnsi="Times New Roman" w:cs="Times New Roman"/>
          <w:sz w:val="24"/>
          <w:szCs w:val="24"/>
          <w:lang w:eastAsia="en-GB"/>
        </w:rPr>
        <w:t>However, additional studies at the national level would be needed to verify case reports, confirm causality, and identify other possible factors that may influence reporting.</w:t>
      </w:r>
    </w:p>
    <w:p w14:paraId="3781E462" w14:textId="761F500F"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COVID-19 further exposed the vulnerabilities in the health systems, particularly those in low- and middle-income countries. With the accelerated emergency use authorization of novel COVID-19 vaccines, vaccine safety surveillance was imperative. However, </w:t>
      </w:r>
      <w:r w:rsidR="002A1D58">
        <w:rPr>
          <w:rFonts w:ascii="Times New Roman" w:hAnsi="Times New Roman" w:cs="Times New Roman"/>
          <w:sz w:val="24"/>
          <w:szCs w:val="24"/>
          <w:lang w:eastAsia="en-GB"/>
        </w:rPr>
        <w:t>like most of the world, these countries were un</w:t>
      </w:r>
      <w:r w:rsidRPr="00FD5808">
        <w:rPr>
          <w:rFonts w:ascii="Times New Roman" w:hAnsi="Times New Roman" w:cs="Times New Roman"/>
          <w:sz w:val="24"/>
          <w:szCs w:val="24"/>
          <w:lang w:eastAsia="en-GB"/>
        </w:rPr>
        <w:t>prepared for the COVID-19 pandemic.</w:t>
      </w:r>
    </w:p>
    <w:p w14:paraId="3C998C76" w14:textId="77777777" w:rsidR="004244DA" w:rsidRPr="00FD5808" w:rsidRDefault="004244DA" w:rsidP="00E66FFE">
      <w:pPr>
        <w:rPr>
          <w:rFonts w:ascii="Times New Roman" w:hAnsi="Times New Roman" w:cs="Times New Roman"/>
          <w:sz w:val="24"/>
          <w:szCs w:val="24"/>
          <w:lang w:eastAsia="en-GB"/>
        </w:rPr>
      </w:pPr>
    </w:p>
    <w:p w14:paraId="0D234372" w14:textId="5AB3BE54" w:rsidR="00E66FFE" w:rsidRPr="00FD5808" w:rsidRDefault="00E66FFE" w:rsidP="00E66FFE">
      <w:pPr>
        <w:rPr>
          <w:rFonts w:ascii="Times New Roman" w:hAnsi="Times New Roman" w:cs="Times New Roman"/>
          <w:b/>
          <w:bCs/>
          <w:sz w:val="24"/>
          <w:szCs w:val="24"/>
          <w:lang w:eastAsia="en-GB"/>
        </w:rPr>
      </w:pPr>
      <w:r w:rsidRPr="00FD5808">
        <w:rPr>
          <w:rFonts w:ascii="Times New Roman" w:hAnsi="Times New Roman" w:cs="Times New Roman"/>
          <w:b/>
          <w:bCs/>
          <w:sz w:val="24"/>
          <w:szCs w:val="24"/>
          <w:lang w:eastAsia="en-GB"/>
        </w:rPr>
        <w:t>Recommendations</w:t>
      </w:r>
    </w:p>
    <w:p w14:paraId="1CDF169A" w14:textId="1DF03D2A"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It is imperative that Caribbean countries work towards establishing or enhancing their national pharmacovigilance systems for medicines and vaccines. The lack of proper legislation is a great challenge to develop and improve national pharmacovigilance systems. The limited human resources available </w:t>
      </w:r>
      <w:r w:rsidR="004244DA" w:rsidRPr="00FD5808">
        <w:rPr>
          <w:rFonts w:ascii="Times New Roman" w:hAnsi="Times New Roman" w:cs="Times New Roman"/>
          <w:sz w:val="24"/>
          <w:szCs w:val="24"/>
          <w:lang w:eastAsia="en-GB"/>
        </w:rPr>
        <w:t>for</w:t>
      </w:r>
      <w:r w:rsidRPr="00FD5808">
        <w:rPr>
          <w:rFonts w:ascii="Times New Roman" w:hAnsi="Times New Roman" w:cs="Times New Roman"/>
          <w:sz w:val="24"/>
          <w:szCs w:val="24"/>
          <w:lang w:eastAsia="en-GB"/>
        </w:rPr>
        <w:t xml:space="preserve"> pharmacovigilance activities need</w:t>
      </w:r>
      <w:r w:rsidR="006B33CA" w:rsidRPr="00FD5808">
        <w:rPr>
          <w:rFonts w:ascii="Times New Roman" w:hAnsi="Times New Roman" w:cs="Times New Roman"/>
          <w:sz w:val="24"/>
          <w:szCs w:val="24"/>
          <w:lang w:eastAsia="en-GB"/>
        </w:rPr>
        <w:t>s</w:t>
      </w:r>
      <w:r w:rsidRPr="00FD5808">
        <w:rPr>
          <w:rFonts w:ascii="Times New Roman" w:hAnsi="Times New Roman" w:cs="Times New Roman"/>
          <w:sz w:val="24"/>
          <w:szCs w:val="24"/>
          <w:lang w:eastAsia="en-GB"/>
        </w:rPr>
        <w:t xml:space="preserve"> to be addressed, including capacity building of current staff and future professionals. This would also benefit the quality of the AEFI report review, investigation, causality ass</w:t>
      </w:r>
      <w:r w:rsidR="004244DA" w:rsidRPr="00FD5808">
        <w:rPr>
          <w:rFonts w:ascii="Times New Roman" w:hAnsi="Times New Roman" w:cs="Times New Roman"/>
          <w:sz w:val="24"/>
          <w:szCs w:val="24"/>
          <w:lang w:eastAsia="en-GB"/>
        </w:rPr>
        <w:t xml:space="preserve">essment, and regulatory actions. </w:t>
      </w:r>
      <w:r w:rsidRPr="00FD5808">
        <w:rPr>
          <w:rFonts w:ascii="Times New Roman" w:hAnsi="Times New Roman" w:cs="Times New Roman"/>
          <w:sz w:val="24"/>
          <w:szCs w:val="24"/>
          <w:lang w:eastAsia="en-GB"/>
        </w:rPr>
        <w:t xml:space="preserve">This calls for allotting financial resources to the national pharmacovigilance </w:t>
      </w:r>
      <w:r w:rsidR="00FD5808" w:rsidRPr="00FD5808">
        <w:rPr>
          <w:rFonts w:ascii="Times New Roman" w:hAnsi="Times New Roman" w:cs="Times New Roman"/>
          <w:sz w:val="24"/>
          <w:szCs w:val="24"/>
          <w:lang w:eastAsia="en-GB"/>
        </w:rPr>
        <w:t>centres</w:t>
      </w:r>
      <w:r w:rsidRPr="00FD5808">
        <w:rPr>
          <w:rFonts w:ascii="Times New Roman" w:hAnsi="Times New Roman" w:cs="Times New Roman"/>
          <w:sz w:val="24"/>
          <w:szCs w:val="24"/>
          <w:lang w:eastAsia="en-GB"/>
        </w:rPr>
        <w:t xml:space="preserve"> </w:t>
      </w:r>
      <w:r w:rsidR="002A1D58">
        <w:rPr>
          <w:rFonts w:ascii="Times New Roman" w:hAnsi="Times New Roman" w:cs="Times New Roman"/>
          <w:sz w:val="24"/>
          <w:szCs w:val="24"/>
          <w:lang w:eastAsia="en-GB"/>
        </w:rPr>
        <w:t>so that they can</w:t>
      </w:r>
      <w:r w:rsidRPr="00FD5808">
        <w:rPr>
          <w:rFonts w:ascii="Times New Roman" w:hAnsi="Times New Roman" w:cs="Times New Roman"/>
          <w:sz w:val="24"/>
          <w:szCs w:val="24"/>
          <w:lang w:eastAsia="en-GB"/>
        </w:rPr>
        <w:t xml:space="preserve"> conduct their activities adequately. </w:t>
      </w:r>
    </w:p>
    <w:p w14:paraId="3572CF8A" w14:textId="617508D9"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During the COVID-19 pandemic, underreporting was a key challenge in these low- and middle-income countries that lack the appropriate vigilance infrastructure and surveillance systems. </w:t>
      </w:r>
      <w:r w:rsidR="004244DA" w:rsidRPr="00FD5808">
        <w:rPr>
          <w:rFonts w:ascii="Times New Roman" w:hAnsi="Times New Roman" w:cs="Times New Roman"/>
          <w:sz w:val="24"/>
          <w:szCs w:val="24"/>
          <w:lang w:eastAsia="en-GB"/>
        </w:rPr>
        <w:t>Basic</w:t>
      </w:r>
      <w:r w:rsidRPr="00FD5808">
        <w:rPr>
          <w:rFonts w:ascii="Times New Roman" w:hAnsi="Times New Roman" w:cs="Times New Roman"/>
          <w:sz w:val="24"/>
          <w:szCs w:val="24"/>
          <w:lang w:eastAsia="en-GB"/>
        </w:rPr>
        <w:t xml:space="preserve"> infrastructure, such as access to digital information systems from the local, </w:t>
      </w:r>
      <w:r w:rsidR="00FD5808" w:rsidRPr="00FD5808">
        <w:rPr>
          <w:rFonts w:ascii="Times New Roman" w:hAnsi="Times New Roman" w:cs="Times New Roman"/>
          <w:sz w:val="24"/>
          <w:szCs w:val="24"/>
          <w:lang w:eastAsia="en-GB"/>
        </w:rPr>
        <w:t>regional,</w:t>
      </w:r>
      <w:r w:rsidRPr="00FD5808">
        <w:rPr>
          <w:rFonts w:ascii="Times New Roman" w:hAnsi="Times New Roman" w:cs="Times New Roman"/>
          <w:sz w:val="24"/>
          <w:szCs w:val="24"/>
          <w:lang w:eastAsia="en-GB"/>
        </w:rPr>
        <w:t xml:space="preserve"> and national offices with staff and computer networks, </w:t>
      </w:r>
      <w:r w:rsidR="002A1D58">
        <w:rPr>
          <w:rFonts w:ascii="Times New Roman" w:hAnsi="Times New Roman" w:cs="Times New Roman"/>
          <w:sz w:val="24"/>
          <w:szCs w:val="24"/>
          <w:lang w:eastAsia="en-GB"/>
        </w:rPr>
        <w:t>is essential to have a functional system operating and</w:t>
      </w:r>
      <w:r w:rsidRPr="00FD5808">
        <w:rPr>
          <w:rFonts w:ascii="Times New Roman" w:hAnsi="Times New Roman" w:cs="Times New Roman"/>
          <w:sz w:val="24"/>
          <w:szCs w:val="24"/>
          <w:lang w:eastAsia="en-GB"/>
        </w:rPr>
        <w:t xml:space="preserve"> to communicate and coordinate considering the surveillance cycle of AEFI.</w:t>
      </w:r>
    </w:p>
    <w:p w14:paraId="1090A073" w14:textId="212DE496"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There is also the opportunity to strengthen the engagement with key stakeholders, such as the relationship between national pharmacovigilance </w:t>
      </w:r>
      <w:r w:rsidR="00FD5808" w:rsidRPr="00FD5808">
        <w:rPr>
          <w:rFonts w:ascii="Times New Roman" w:hAnsi="Times New Roman" w:cs="Times New Roman"/>
          <w:sz w:val="24"/>
          <w:szCs w:val="24"/>
          <w:lang w:eastAsia="en-GB"/>
        </w:rPr>
        <w:t>centres</w:t>
      </w:r>
      <w:r w:rsidRPr="00FD5808">
        <w:rPr>
          <w:rFonts w:ascii="Times New Roman" w:hAnsi="Times New Roman" w:cs="Times New Roman"/>
          <w:sz w:val="24"/>
          <w:szCs w:val="24"/>
          <w:lang w:eastAsia="en-GB"/>
        </w:rPr>
        <w:t xml:space="preserve"> and expanded </w:t>
      </w:r>
      <w:r w:rsidR="00FD5808" w:rsidRPr="00FD5808">
        <w:rPr>
          <w:rFonts w:ascii="Times New Roman" w:hAnsi="Times New Roman" w:cs="Times New Roman"/>
          <w:sz w:val="24"/>
          <w:szCs w:val="24"/>
          <w:lang w:eastAsia="en-GB"/>
        </w:rPr>
        <w:t>programme</w:t>
      </w:r>
      <w:r w:rsidRPr="00FD5808">
        <w:rPr>
          <w:rFonts w:ascii="Times New Roman" w:hAnsi="Times New Roman" w:cs="Times New Roman"/>
          <w:sz w:val="24"/>
          <w:szCs w:val="24"/>
          <w:lang w:eastAsia="en-GB"/>
        </w:rPr>
        <w:t xml:space="preserve"> in immunization and national pharmacovigilance </w:t>
      </w:r>
      <w:r w:rsidR="00FD5808" w:rsidRPr="00FD5808">
        <w:rPr>
          <w:rFonts w:ascii="Times New Roman" w:hAnsi="Times New Roman" w:cs="Times New Roman"/>
          <w:sz w:val="24"/>
          <w:szCs w:val="24"/>
          <w:lang w:eastAsia="en-GB"/>
        </w:rPr>
        <w:t>programme</w:t>
      </w:r>
      <w:r w:rsidRPr="00FD5808">
        <w:rPr>
          <w:rFonts w:ascii="Times New Roman" w:hAnsi="Times New Roman" w:cs="Times New Roman"/>
          <w:sz w:val="24"/>
          <w:szCs w:val="24"/>
          <w:lang w:eastAsia="en-GB"/>
        </w:rPr>
        <w:t xml:space="preserve">. In the Caribbean, the Expanded </w:t>
      </w:r>
      <w:r w:rsidR="00FD5808" w:rsidRPr="00FD5808">
        <w:rPr>
          <w:rFonts w:ascii="Times New Roman" w:hAnsi="Times New Roman" w:cs="Times New Roman"/>
          <w:sz w:val="24"/>
          <w:szCs w:val="24"/>
          <w:lang w:eastAsia="en-GB"/>
        </w:rPr>
        <w:t>Programme</w:t>
      </w:r>
      <w:r w:rsidRPr="00FD5808">
        <w:rPr>
          <w:rFonts w:ascii="Times New Roman" w:hAnsi="Times New Roman" w:cs="Times New Roman"/>
          <w:sz w:val="24"/>
          <w:szCs w:val="24"/>
          <w:lang w:eastAsia="en-GB"/>
        </w:rPr>
        <w:t xml:space="preserve"> in Immunization ha</w:t>
      </w:r>
      <w:r w:rsidR="002A1D58">
        <w:rPr>
          <w:rFonts w:ascii="Times New Roman" w:hAnsi="Times New Roman" w:cs="Times New Roman"/>
          <w:sz w:val="24"/>
          <w:szCs w:val="24"/>
          <w:lang w:eastAsia="en-GB"/>
        </w:rPr>
        <w:t>s</w:t>
      </w:r>
      <w:r w:rsidRPr="00FD5808">
        <w:rPr>
          <w:rFonts w:ascii="Times New Roman" w:hAnsi="Times New Roman" w:cs="Times New Roman"/>
          <w:sz w:val="24"/>
          <w:szCs w:val="24"/>
          <w:lang w:eastAsia="en-GB"/>
        </w:rPr>
        <w:t xml:space="preserve"> led the way with AEFI investigation and reporting from pre-pandemic time</w:t>
      </w:r>
      <w:r w:rsidR="002A1D58">
        <w:rPr>
          <w:rFonts w:ascii="Times New Roman" w:hAnsi="Times New Roman" w:cs="Times New Roman"/>
          <w:sz w:val="24"/>
          <w:szCs w:val="24"/>
          <w:lang w:eastAsia="en-GB"/>
        </w:rPr>
        <w:t>,</w:t>
      </w:r>
      <w:r w:rsidRPr="00FD5808">
        <w:rPr>
          <w:rFonts w:ascii="Times New Roman" w:hAnsi="Times New Roman" w:cs="Times New Roman"/>
          <w:sz w:val="24"/>
          <w:szCs w:val="24"/>
          <w:lang w:eastAsia="en-GB"/>
        </w:rPr>
        <w:t xml:space="preserve"> given that there are few established national pharmacovigilance </w:t>
      </w:r>
      <w:r w:rsidR="00FD5808" w:rsidRPr="00FD5808">
        <w:rPr>
          <w:rFonts w:ascii="Times New Roman" w:hAnsi="Times New Roman" w:cs="Times New Roman"/>
          <w:sz w:val="24"/>
          <w:szCs w:val="24"/>
          <w:lang w:eastAsia="en-GB"/>
        </w:rPr>
        <w:t>centres</w:t>
      </w:r>
      <w:r w:rsidRPr="00FD5808">
        <w:rPr>
          <w:rFonts w:ascii="Times New Roman" w:hAnsi="Times New Roman" w:cs="Times New Roman"/>
          <w:sz w:val="24"/>
          <w:szCs w:val="24"/>
          <w:lang w:eastAsia="en-GB"/>
        </w:rPr>
        <w:t xml:space="preserve">. </w:t>
      </w:r>
    </w:p>
    <w:p w14:paraId="176821EA" w14:textId="46598B95"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CARICOM countries </w:t>
      </w:r>
      <w:r w:rsidR="004244DA" w:rsidRPr="00FD5808">
        <w:rPr>
          <w:rFonts w:ascii="Times New Roman" w:hAnsi="Times New Roman" w:cs="Times New Roman"/>
          <w:sz w:val="24"/>
          <w:szCs w:val="24"/>
          <w:lang w:eastAsia="en-GB"/>
        </w:rPr>
        <w:t>should</w:t>
      </w:r>
      <w:r w:rsidRPr="00FD5808">
        <w:rPr>
          <w:rFonts w:ascii="Times New Roman" w:hAnsi="Times New Roman" w:cs="Times New Roman"/>
          <w:sz w:val="24"/>
          <w:szCs w:val="24"/>
          <w:lang w:eastAsia="en-GB"/>
        </w:rPr>
        <w:t xml:space="preserve"> use VigiCarib as a regional reliance mechanism for pharmacovigilance.</w:t>
      </w:r>
      <w:r w:rsidR="004244DA" w:rsidRPr="00FD5808">
        <w:rPr>
          <w:rFonts w:ascii="Times New Roman" w:hAnsi="Times New Roman" w:cs="Times New Roman"/>
          <w:sz w:val="24"/>
          <w:szCs w:val="24"/>
          <w:lang w:eastAsia="en-GB"/>
        </w:rPr>
        <w:t xml:space="preserve"> </w:t>
      </w:r>
      <w:r w:rsidR="00F47C62" w:rsidRPr="00FD5808">
        <w:rPr>
          <w:rFonts w:ascii="Times New Roman" w:hAnsi="Times New Roman" w:cs="Times New Roman"/>
          <w:sz w:val="24"/>
          <w:szCs w:val="24"/>
          <w:lang w:eastAsia="en-GB"/>
        </w:rPr>
        <w:t>Not</w:t>
      </w:r>
      <w:r w:rsidRPr="00FD5808">
        <w:rPr>
          <w:rFonts w:ascii="Times New Roman" w:hAnsi="Times New Roman" w:cs="Times New Roman"/>
          <w:sz w:val="24"/>
          <w:szCs w:val="24"/>
          <w:lang w:eastAsia="en-GB"/>
        </w:rPr>
        <w:t xml:space="preserve"> only on the use of the AEFI online reporting form but also on other pharmacovigilance activities provided to support national systems. </w:t>
      </w:r>
      <w:r w:rsidR="004244DA" w:rsidRPr="00FD5808">
        <w:rPr>
          <w:rFonts w:ascii="Times New Roman" w:hAnsi="Times New Roman" w:cs="Times New Roman"/>
          <w:sz w:val="24"/>
          <w:szCs w:val="24"/>
          <w:lang w:eastAsia="en-GB"/>
        </w:rPr>
        <w:t>In addition</w:t>
      </w:r>
      <w:r w:rsidRPr="00FD5808">
        <w:rPr>
          <w:rFonts w:ascii="Times New Roman" w:hAnsi="Times New Roman" w:cs="Times New Roman"/>
          <w:sz w:val="24"/>
          <w:szCs w:val="24"/>
          <w:lang w:eastAsia="en-GB"/>
        </w:rPr>
        <w:t xml:space="preserve">, they can use the </w:t>
      </w:r>
      <w:r w:rsidR="00FD5808" w:rsidRPr="00FD5808">
        <w:rPr>
          <w:rFonts w:ascii="Times New Roman" w:hAnsi="Times New Roman" w:cs="Times New Roman"/>
          <w:sz w:val="24"/>
          <w:szCs w:val="24"/>
          <w:lang w:eastAsia="en-GB"/>
        </w:rPr>
        <w:t xml:space="preserve">support provided by the </w:t>
      </w:r>
      <w:r w:rsidRPr="00FD5808">
        <w:rPr>
          <w:rFonts w:ascii="Times New Roman" w:hAnsi="Times New Roman" w:cs="Times New Roman"/>
          <w:sz w:val="24"/>
          <w:szCs w:val="24"/>
          <w:lang w:eastAsia="en-GB"/>
        </w:rPr>
        <w:t xml:space="preserve">CRS </w:t>
      </w:r>
      <w:r w:rsidR="002A1D58">
        <w:rPr>
          <w:rFonts w:ascii="Times New Roman" w:hAnsi="Times New Roman" w:cs="Times New Roman"/>
          <w:sz w:val="24"/>
          <w:szCs w:val="24"/>
          <w:lang w:eastAsia="en-GB"/>
        </w:rPr>
        <w:t>to submit</w:t>
      </w:r>
      <w:r w:rsidRPr="00FD5808">
        <w:rPr>
          <w:rFonts w:ascii="Times New Roman" w:hAnsi="Times New Roman" w:cs="Times New Roman"/>
          <w:sz w:val="24"/>
          <w:szCs w:val="24"/>
          <w:lang w:eastAsia="en-GB"/>
        </w:rPr>
        <w:t xml:space="preserve"> adverse event reports to the global databases at the Uppsala Monitoring Centre. Countries such as those presented in the study can also benefit from pharmacovigilance capacity building provided by the CRS. </w:t>
      </w:r>
    </w:p>
    <w:p w14:paraId="10E9C216" w14:textId="0CA8DD4F"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Although VigiCarib publishes safety data in its monthly newsletter, it was challenging to identify other sources of information</w:t>
      </w:r>
      <w:r w:rsidR="004244DA" w:rsidRPr="00FD5808">
        <w:rPr>
          <w:rFonts w:ascii="Times New Roman" w:hAnsi="Times New Roman" w:cs="Times New Roman"/>
          <w:sz w:val="24"/>
          <w:szCs w:val="24"/>
          <w:lang w:eastAsia="en-GB"/>
        </w:rPr>
        <w:t>, including</w:t>
      </w:r>
      <w:r w:rsidRPr="00FD5808">
        <w:rPr>
          <w:rFonts w:ascii="Times New Roman" w:hAnsi="Times New Roman" w:cs="Times New Roman"/>
          <w:sz w:val="24"/>
          <w:szCs w:val="24"/>
          <w:lang w:eastAsia="en-GB"/>
        </w:rPr>
        <w:t xml:space="preserve"> data </w:t>
      </w:r>
      <w:r w:rsidR="004244DA" w:rsidRPr="00FD5808">
        <w:rPr>
          <w:rFonts w:ascii="Times New Roman" w:hAnsi="Times New Roman" w:cs="Times New Roman"/>
          <w:sz w:val="24"/>
          <w:szCs w:val="24"/>
          <w:lang w:eastAsia="en-GB"/>
        </w:rPr>
        <w:t>from</w:t>
      </w:r>
      <w:r w:rsidRPr="00FD5808">
        <w:rPr>
          <w:rFonts w:ascii="Times New Roman" w:hAnsi="Times New Roman" w:cs="Times New Roman"/>
          <w:sz w:val="24"/>
          <w:szCs w:val="24"/>
          <w:lang w:eastAsia="en-GB"/>
        </w:rPr>
        <w:t xml:space="preserve"> the national Ministry of Health websites or other reliable websites. </w:t>
      </w:r>
      <w:r w:rsidR="00342E1D" w:rsidRPr="00FD5808">
        <w:rPr>
          <w:rFonts w:ascii="Times New Roman" w:hAnsi="Times New Roman" w:cs="Times New Roman"/>
          <w:sz w:val="24"/>
          <w:szCs w:val="24"/>
          <w:lang w:eastAsia="en-GB"/>
        </w:rPr>
        <w:t xml:space="preserve">Healthcare professionals and </w:t>
      </w:r>
      <w:r w:rsidR="002B64A6" w:rsidRPr="00FD5808">
        <w:rPr>
          <w:rFonts w:ascii="Times New Roman" w:hAnsi="Times New Roman" w:cs="Times New Roman"/>
          <w:sz w:val="24"/>
          <w:szCs w:val="24"/>
          <w:lang w:eastAsia="en-GB"/>
        </w:rPr>
        <w:t>others,</w:t>
      </w:r>
      <w:r w:rsidR="001F275C" w:rsidRPr="00FD5808">
        <w:rPr>
          <w:rFonts w:ascii="Times New Roman" w:hAnsi="Times New Roman" w:cs="Times New Roman"/>
          <w:sz w:val="24"/>
          <w:szCs w:val="24"/>
          <w:lang w:eastAsia="en-GB"/>
        </w:rPr>
        <w:t xml:space="preserve"> who report</w:t>
      </w:r>
      <w:r w:rsidR="00342E1D" w:rsidRPr="00FD5808">
        <w:rPr>
          <w:rFonts w:ascii="Times New Roman" w:hAnsi="Times New Roman" w:cs="Times New Roman"/>
          <w:sz w:val="24"/>
          <w:szCs w:val="24"/>
          <w:lang w:eastAsia="en-GB"/>
        </w:rPr>
        <w:t xml:space="preserve"> AEFI</w:t>
      </w:r>
      <w:r w:rsidR="001F275C" w:rsidRPr="00FD5808">
        <w:rPr>
          <w:rFonts w:ascii="Times New Roman" w:hAnsi="Times New Roman" w:cs="Times New Roman"/>
          <w:sz w:val="24"/>
          <w:szCs w:val="24"/>
          <w:lang w:eastAsia="en-GB"/>
        </w:rPr>
        <w:t xml:space="preserve">s, </w:t>
      </w:r>
      <w:r w:rsidR="00342E1D" w:rsidRPr="00FD5808">
        <w:rPr>
          <w:rFonts w:ascii="Times New Roman" w:hAnsi="Times New Roman" w:cs="Times New Roman"/>
          <w:sz w:val="24"/>
          <w:szCs w:val="24"/>
          <w:lang w:eastAsia="en-GB"/>
        </w:rPr>
        <w:t xml:space="preserve">must include </w:t>
      </w:r>
      <w:r w:rsidR="00FD5808" w:rsidRPr="00FD5808">
        <w:rPr>
          <w:rFonts w:ascii="Times New Roman" w:hAnsi="Times New Roman" w:cs="Times New Roman"/>
          <w:sz w:val="24"/>
          <w:szCs w:val="24"/>
          <w:lang w:eastAsia="en-GB"/>
        </w:rPr>
        <w:t>the</w:t>
      </w:r>
      <w:r w:rsidR="00342E1D" w:rsidRPr="00FD5808">
        <w:rPr>
          <w:rFonts w:ascii="Times New Roman" w:hAnsi="Times New Roman" w:cs="Times New Roman"/>
          <w:sz w:val="24"/>
          <w:szCs w:val="24"/>
          <w:lang w:eastAsia="en-GB"/>
        </w:rPr>
        <w:t xml:space="preserve"> </w:t>
      </w:r>
      <w:r w:rsidR="001F275C" w:rsidRPr="00FD5808">
        <w:rPr>
          <w:rFonts w:ascii="Times New Roman" w:hAnsi="Times New Roman" w:cs="Times New Roman"/>
          <w:sz w:val="24"/>
          <w:szCs w:val="24"/>
          <w:lang w:eastAsia="en-GB"/>
        </w:rPr>
        <w:t xml:space="preserve">specific characteristics of the AEFI </w:t>
      </w:r>
      <w:r w:rsidR="00342E1D" w:rsidRPr="00FD5808">
        <w:rPr>
          <w:rFonts w:ascii="Times New Roman" w:hAnsi="Times New Roman" w:cs="Times New Roman"/>
          <w:sz w:val="24"/>
          <w:szCs w:val="24"/>
          <w:lang w:eastAsia="en-GB"/>
        </w:rPr>
        <w:t>and vaccine safety data</w:t>
      </w:r>
      <w:r w:rsidRPr="00FD5808">
        <w:rPr>
          <w:rFonts w:ascii="Times New Roman" w:hAnsi="Times New Roman" w:cs="Times New Roman"/>
          <w:sz w:val="24"/>
          <w:szCs w:val="24"/>
          <w:lang w:eastAsia="en-GB"/>
        </w:rPr>
        <w:t xml:space="preserve">. This can contribute to building trust in the national pharmacovigilance systems and generally in the health authorities. </w:t>
      </w:r>
    </w:p>
    <w:p w14:paraId="72C782AE" w14:textId="77777777" w:rsidR="00E66FFE" w:rsidRPr="00FD5808" w:rsidRDefault="00E66FFE" w:rsidP="00E66FFE">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Conflicts of interest</w:t>
      </w:r>
    </w:p>
    <w:p w14:paraId="6AED525B" w14:textId="77777777"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The author has no conflicts of interest to declare.</w:t>
      </w:r>
    </w:p>
    <w:p w14:paraId="2D7D64B8" w14:textId="77777777" w:rsidR="00E66FFE" w:rsidRPr="00FD5808" w:rsidRDefault="00E66FFE" w:rsidP="00E66FFE">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Ethics statement</w:t>
      </w:r>
    </w:p>
    <w:p w14:paraId="3E8DC3D5" w14:textId="77777777"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Ethical approval was not required for this study. </w:t>
      </w:r>
    </w:p>
    <w:p w14:paraId="5F9E85D0" w14:textId="77777777" w:rsidR="00E66FFE" w:rsidRPr="00FD5808" w:rsidRDefault="00E66FFE" w:rsidP="00E66FFE">
      <w:pPr>
        <w:rPr>
          <w:rFonts w:ascii="Times New Roman" w:hAnsi="Times New Roman" w:cs="Times New Roman"/>
          <w:b/>
          <w:sz w:val="24"/>
          <w:szCs w:val="24"/>
          <w:lang w:eastAsia="en-GB"/>
        </w:rPr>
      </w:pPr>
      <w:r w:rsidRPr="00FD5808">
        <w:rPr>
          <w:rFonts w:ascii="Times New Roman" w:hAnsi="Times New Roman" w:cs="Times New Roman"/>
          <w:b/>
          <w:sz w:val="24"/>
          <w:szCs w:val="24"/>
          <w:lang w:eastAsia="en-GB"/>
        </w:rPr>
        <w:t>Funding</w:t>
      </w:r>
    </w:p>
    <w:p w14:paraId="5F8068AF" w14:textId="77777777" w:rsidR="00E66FFE" w:rsidRPr="00FD5808"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No funding was required for this study.</w:t>
      </w:r>
    </w:p>
    <w:p w14:paraId="0FDB8924" w14:textId="77777777" w:rsidR="002B64A6" w:rsidRDefault="00E66FFE" w:rsidP="00E66FFE">
      <w:pPr>
        <w:rPr>
          <w:rFonts w:ascii="Times New Roman" w:hAnsi="Times New Roman" w:cs="Times New Roman"/>
          <w:sz w:val="24"/>
          <w:szCs w:val="24"/>
          <w:lang w:eastAsia="en-GB"/>
        </w:rPr>
      </w:pPr>
      <w:r w:rsidRPr="00FD5808">
        <w:rPr>
          <w:rFonts w:ascii="Times New Roman" w:hAnsi="Times New Roman" w:cs="Times New Roman"/>
          <w:sz w:val="24"/>
          <w:szCs w:val="24"/>
          <w:lang w:eastAsia="en-GB"/>
        </w:rPr>
        <w:t xml:space="preserve"> </w:t>
      </w:r>
    </w:p>
    <w:p w14:paraId="1D687F63" w14:textId="77777777" w:rsidR="002B64A6" w:rsidRDefault="002B64A6" w:rsidP="00E66FFE">
      <w:pPr>
        <w:rPr>
          <w:rFonts w:ascii="Times New Roman" w:hAnsi="Times New Roman" w:cs="Times New Roman"/>
          <w:sz w:val="24"/>
          <w:szCs w:val="24"/>
          <w:lang w:eastAsia="en-GB"/>
        </w:rPr>
      </w:pPr>
    </w:p>
    <w:p w14:paraId="26585C12" w14:textId="078F3ECA" w:rsidR="00E66FFE" w:rsidRPr="002A1D58" w:rsidRDefault="00E66FFE" w:rsidP="00E66FFE">
      <w:pPr>
        <w:rPr>
          <w:rFonts w:ascii="Times New Roman" w:hAnsi="Times New Roman" w:cs="Times New Roman"/>
          <w:b/>
          <w:bCs/>
          <w:sz w:val="24"/>
          <w:szCs w:val="24"/>
          <w:lang w:eastAsia="en-GB"/>
        </w:rPr>
      </w:pPr>
      <w:r w:rsidRPr="002A1D58">
        <w:rPr>
          <w:rFonts w:ascii="Times New Roman" w:hAnsi="Times New Roman" w:cs="Times New Roman"/>
          <w:b/>
          <w:bCs/>
          <w:sz w:val="24"/>
          <w:szCs w:val="24"/>
          <w:lang w:eastAsia="en-GB"/>
        </w:rPr>
        <w:t>Bibliography</w:t>
      </w:r>
    </w:p>
    <w:p w14:paraId="1172FF81" w14:textId="499C3C1E" w:rsidR="00F43AB9" w:rsidRPr="002B64A6" w:rsidRDefault="00F43AB9" w:rsidP="002B64A6">
      <w:pPr>
        <w:rPr>
          <w:rFonts w:ascii="Times New Roman" w:hAnsi="Times New Roman" w:cs="Times New Roman"/>
          <w:sz w:val="24"/>
          <w:szCs w:val="24"/>
          <w:lang w:val="en-BZ" w:eastAsia="en-GB"/>
        </w:rPr>
      </w:pPr>
      <w:r w:rsidRPr="00786DCC">
        <w:rPr>
          <w:rFonts w:ascii="Times New Roman" w:hAnsi="Times New Roman" w:cs="Times New Roman"/>
          <w:sz w:val="24"/>
          <w:szCs w:val="24"/>
          <w:lang w:val="en-BZ" w:eastAsia="en-GB"/>
        </w:rPr>
        <w:t xml:space="preserve">Amarasinghe, A., Cho, H., Katalbas, E. R., &amp; Takashima, Y. (2023). </w:t>
      </w:r>
      <w:r w:rsidRPr="002B64A6">
        <w:rPr>
          <w:rFonts w:ascii="Times New Roman" w:hAnsi="Times New Roman" w:cs="Times New Roman"/>
          <w:sz w:val="24"/>
          <w:szCs w:val="24"/>
          <w:lang w:val="en-BZ" w:eastAsia="en-GB"/>
        </w:rPr>
        <w:t xml:space="preserve">COVID-19 vaccine-related adverse events following immunization in the WHO Western Pacific Region, 2021–2022. </w:t>
      </w:r>
      <w:r w:rsidR="00430D9D">
        <w:rPr>
          <w:rFonts w:ascii="Times New Roman" w:hAnsi="Times New Roman" w:cs="Times New Roman"/>
          <w:sz w:val="24"/>
          <w:szCs w:val="24"/>
          <w:lang w:val="en-BZ" w:eastAsia="en-GB"/>
        </w:rPr>
        <w:t xml:space="preserve">Available from: </w:t>
      </w:r>
      <w:hyperlink r:id="rId20" w:history="1">
        <w:r w:rsidR="00B6430B" w:rsidRPr="0069550C">
          <w:rPr>
            <w:rStyle w:val="Hyperlink"/>
            <w:rFonts w:ascii="Times New Roman" w:hAnsi="Times New Roman" w:cs="Times New Roman"/>
            <w:sz w:val="24"/>
            <w:szCs w:val="24"/>
            <w:lang w:val="en-BZ" w:eastAsia="en-GB"/>
          </w:rPr>
          <w:t>https://ojs.wpro.who.int/ojs/index.php/wpsar/article/view/1046</w:t>
        </w:r>
      </w:hyperlink>
      <w:r w:rsidR="00B6430B">
        <w:rPr>
          <w:rFonts w:ascii="Times New Roman" w:hAnsi="Times New Roman" w:cs="Times New Roman"/>
          <w:sz w:val="24"/>
          <w:szCs w:val="24"/>
          <w:lang w:val="en-BZ" w:eastAsia="en-GB"/>
        </w:rPr>
        <w:t xml:space="preserve"> </w:t>
      </w:r>
      <w:r w:rsidR="00B6430B" w:rsidRPr="00B6430B">
        <w:rPr>
          <w:rFonts w:ascii="Times New Roman" w:hAnsi="Times New Roman" w:cs="Times New Roman"/>
          <w:sz w:val="24"/>
          <w:szCs w:val="24"/>
          <w:lang w:val="en-BZ" w:eastAsia="en-GB"/>
        </w:rPr>
        <w:t xml:space="preserve"> (Accessed</w:t>
      </w:r>
      <w:r w:rsidR="00B6430B">
        <w:rPr>
          <w:rFonts w:ascii="Times New Roman" w:hAnsi="Times New Roman" w:cs="Times New Roman"/>
          <w:sz w:val="24"/>
          <w:szCs w:val="24"/>
          <w:lang w:val="en-BZ" w:eastAsia="en-GB"/>
        </w:rPr>
        <w:t xml:space="preserve"> on July 10, 2024)</w:t>
      </w:r>
    </w:p>
    <w:p w14:paraId="72C01FA9" w14:textId="09BB3992"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Caribbean Public Health Agency (CARPHA). (2020). COVID-19 SITUATION REPORT NO. 259 DECEMBER 15, 2022. </w:t>
      </w:r>
      <w:r w:rsidR="00430D9D">
        <w:rPr>
          <w:rFonts w:ascii="Times New Roman" w:hAnsi="Times New Roman" w:cs="Times New Roman"/>
          <w:sz w:val="24"/>
          <w:szCs w:val="24"/>
          <w:lang w:val="en-BZ" w:eastAsia="en-GB"/>
        </w:rPr>
        <w:t xml:space="preserve">Available from: </w:t>
      </w:r>
      <w:hyperlink r:id="rId21" w:history="1">
        <w:r w:rsidR="00B6430B" w:rsidRPr="0069550C">
          <w:rPr>
            <w:rStyle w:val="Hyperlink"/>
            <w:rFonts w:ascii="Times New Roman" w:hAnsi="Times New Roman" w:cs="Times New Roman"/>
            <w:sz w:val="24"/>
            <w:szCs w:val="24"/>
            <w:lang w:val="en-BZ" w:eastAsia="en-GB"/>
          </w:rPr>
          <w:t>https://www.carpha.org/Portals/0/Documents/COVID%20Situation%20Reports/Situation%20Report%20259%20-%20December%2015%202022.pdf</w:t>
        </w:r>
      </w:hyperlink>
      <w:r w:rsidR="00B6430B">
        <w:rPr>
          <w:rFonts w:ascii="Times New Roman" w:hAnsi="Times New Roman" w:cs="Times New Roman"/>
          <w:sz w:val="24"/>
          <w:szCs w:val="24"/>
          <w:lang w:val="en-BZ" w:eastAsia="en-GB"/>
        </w:rPr>
        <w:t xml:space="preserve"> </w:t>
      </w:r>
      <w:r w:rsidR="00B6430B" w:rsidRPr="00B6430B">
        <w:rPr>
          <w:rFonts w:ascii="Times New Roman" w:hAnsi="Times New Roman" w:cs="Times New Roman"/>
          <w:sz w:val="24"/>
          <w:szCs w:val="24"/>
          <w:lang w:val="en-BZ" w:eastAsia="en-GB"/>
        </w:rPr>
        <w:t>(Accessed</w:t>
      </w:r>
      <w:r w:rsidR="00B6430B">
        <w:rPr>
          <w:rFonts w:ascii="Times New Roman" w:hAnsi="Times New Roman" w:cs="Times New Roman"/>
          <w:sz w:val="24"/>
          <w:szCs w:val="24"/>
          <w:lang w:val="en-BZ" w:eastAsia="en-GB"/>
        </w:rPr>
        <w:t xml:space="preserve"> on July 10, 2024)</w:t>
      </w:r>
    </w:p>
    <w:p w14:paraId="070CC821" w14:textId="6E9C5460" w:rsidR="00E25F44" w:rsidRPr="002B64A6" w:rsidRDefault="00E25F44"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Caribbean Public Health Agency (CARPHA). (2022). VigiCarib News December 2022. </w:t>
      </w:r>
      <w:r w:rsidR="00430D9D">
        <w:rPr>
          <w:rFonts w:ascii="Times New Roman" w:hAnsi="Times New Roman" w:cs="Times New Roman"/>
          <w:sz w:val="24"/>
          <w:szCs w:val="24"/>
          <w:lang w:val="en-BZ" w:eastAsia="en-GB"/>
        </w:rPr>
        <w:t xml:space="preserve">Available from: </w:t>
      </w:r>
      <w:hyperlink r:id="rId22" w:history="1">
        <w:r w:rsidR="003205CB" w:rsidRPr="0069550C">
          <w:rPr>
            <w:rStyle w:val="Hyperlink"/>
            <w:rFonts w:ascii="Times New Roman" w:hAnsi="Times New Roman" w:cs="Times New Roman"/>
            <w:sz w:val="24"/>
            <w:szCs w:val="24"/>
            <w:lang w:val="en-BZ" w:eastAsia="en-GB"/>
          </w:rPr>
          <w:t>https://www.paho.org/en/documents/vigicarib-news-december-2022</w:t>
        </w:r>
      </w:hyperlink>
      <w:r w:rsidR="003205CB">
        <w:rPr>
          <w:rFonts w:ascii="Times New Roman" w:hAnsi="Times New Roman" w:cs="Times New Roman"/>
          <w:sz w:val="24"/>
          <w:szCs w:val="24"/>
          <w:lang w:val="en-BZ" w:eastAsia="en-GB"/>
        </w:rPr>
        <w:t xml:space="preserve"> </w:t>
      </w:r>
      <w:r w:rsidRPr="002B64A6">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0D07B149" w14:textId="7E5DEBDF"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s-GT" w:eastAsia="en-GB"/>
        </w:rPr>
        <w:t xml:space="preserve">DIS TV. (2021). PAHO Farmacovigilancia de Eventos Supuestamente Atribuibles a Vacunación o Inmunización de COVID-19. </w:t>
      </w:r>
      <w:r w:rsidRPr="002B64A6">
        <w:rPr>
          <w:rFonts w:ascii="Times New Roman" w:hAnsi="Times New Roman" w:cs="Times New Roman"/>
          <w:sz w:val="24"/>
          <w:szCs w:val="24"/>
          <w:lang w:val="en-BZ" w:eastAsia="en-GB"/>
        </w:rPr>
        <w:t xml:space="preserve">DIS TV. </w:t>
      </w:r>
      <w:r w:rsidR="00430D9D">
        <w:rPr>
          <w:rFonts w:ascii="Times New Roman" w:hAnsi="Times New Roman" w:cs="Times New Roman"/>
          <w:sz w:val="24"/>
          <w:szCs w:val="24"/>
          <w:lang w:val="en-BZ" w:eastAsia="en-GB"/>
        </w:rPr>
        <w:t xml:space="preserve">Available from: </w:t>
      </w:r>
      <w:hyperlink r:id="rId23" w:history="1">
        <w:r w:rsidR="003205CB" w:rsidRPr="0069550C">
          <w:rPr>
            <w:rStyle w:val="Hyperlink"/>
            <w:rFonts w:ascii="Times New Roman" w:hAnsi="Times New Roman" w:cs="Times New Roman"/>
            <w:sz w:val="24"/>
            <w:szCs w:val="24"/>
            <w:lang w:val="en-BZ" w:eastAsia="en-GB"/>
          </w:rPr>
          <w:t>https://www.youtube.com/watch?app=desktop&amp;v=gmKZGc7J8LY</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67E43E16" w14:textId="742EB3BC"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Jamaica Information Service</w:t>
      </w:r>
      <w:r w:rsidR="003205CB">
        <w:rPr>
          <w:rFonts w:ascii="Times New Roman" w:hAnsi="Times New Roman" w:cs="Times New Roman"/>
          <w:sz w:val="24"/>
          <w:szCs w:val="24"/>
          <w:lang w:val="en-BZ" w:eastAsia="en-GB"/>
        </w:rPr>
        <w:t xml:space="preserve"> (JIS)</w:t>
      </w:r>
      <w:r w:rsidRPr="002B64A6">
        <w:rPr>
          <w:rFonts w:ascii="Times New Roman" w:hAnsi="Times New Roman" w:cs="Times New Roman"/>
          <w:sz w:val="24"/>
          <w:szCs w:val="24"/>
          <w:lang w:val="en-BZ" w:eastAsia="en-GB"/>
        </w:rPr>
        <w:t>.</w:t>
      </w:r>
      <w:r w:rsidR="003205CB">
        <w:rPr>
          <w:rFonts w:ascii="Times New Roman" w:hAnsi="Times New Roman" w:cs="Times New Roman"/>
          <w:sz w:val="24"/>
          <w:szCs w:val="24"/>
          <w:lang w:val="en-BZ" w:eastAsia="en-GB"/>
        </w:rPr>
        <w:t xml:space="preserve"> (ND_</w:t>
      </w:r>
      <w:r w:rsidRPr="002B64A6">
        <w:rPr>
          <w:rFonts w:ascii="Times New Roman" w:hAnsi="Times New Roman" w:cs="Times New Roman"/>
          <w:sz w:val="24"/>
          <w:szCs w:val="24"/>
          <w:lang w:val="en-BZ" w:eastAsia="en-GB"/>
        </w:rPr>
        <w:t xml:space="preserve"> Few Reports of Side Effects. </w:t>
      </w:r>
      <w:r w:rsidRPr="00786DCC">
        <w:rPr>
          <w:rFonts w:ascii="Times New Roman" w:hAnsi="Times New Roman" w:cs="Times New Roman"/>
          <w:sz w:val="24"/>
          <w:szCs w:val="24"/>
          <w:lang w:val="en-BZ" w:eastAsia="en-GB"/>
        </w:rPr>
        <w:t xml:space="preserve">Jamaica Information Service. </w:t>
      </w:r>
      <w:r w:rsidR="00430D9D">
        <w:rPr>
          <w:rFonts w:ascii="Times New Roman" w:hAnsi="Times New Roman" w:cs="Times New Roman"/>
          <w:sz w:val="24"/>
          <w:szCs w:val="24"/>
          <w:lang w:val="en-BZ" w:eastAsia="en-GB"/>
        </w:rPr>
        <w:t xml:space="preserve">Available from: </w:t>
      </w:r>
      <w:hyperlink r:id="rId24" w:history="1">
        <w:r w:rsidR="003205CB" w:rsidRPr="00786DCC">
          <w:rPr>
            <w:rStyle w:val="Hyperlink"/>
            <w:rFonts w:ascii="Times New Roman" w:hAnsi="Times New Roman" w:cs="Times New Roman"/>
            <w:sz w:val="24"/>
            <w:szCs w:val="24"/>
            <w:lang w:val="en-BZ" w:eastAsia="en-GB"/>
          </w:rPr>
          <w:t>https://jis.gov.jm/few-reports-of-side-effects/</w:t>
        </w:r>
      </w:hyperlink>
      <w:r w:rsidR="003205CB" w:rsidRPr="00786DCC">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1ED660D9" w14:textId="3EB21887" w:rsidR="00F43AB9" w:rsidRPr="003205CB"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s-GT" w:eastAsia="en-GB"/>
        </w:rPr>
        <w:t xml:space="preserve">Ministére de la Santé Publique et de la population. (n.d.). Direction de la Pharmacie. </w:t>
      </w:r>
      <w:r w:rsidR="00430D9D">
        <w:rPr>
          <w:rFonts w:ascii="Times New Roman" w:hAnsi="Times New Roman" w:cs="Times New Roman"/>
          <w:sz w:val="24"/>
          <w:szCs w:val="24"/>
          <w:lang w:val="en-BZ" w:eastAsia="en-GB"/>
        </w:rPr>
        <w:t xml:space="preserve">Available from: </w:t>
      </w:r>
      <w:hyperlink r:id="rId25" w:history="1">
        <w:r w:rsidR="003205CB" w:rsidRPr="00786DCC">
          <w:rPr>
            <w:rStyle w:val="Hyperlink"/>
            <w:rFonts w:ascii="Times New Roman" w:hAnsi="Times New Roman" w:cs="Times New Roman"/>
            <w:sz w:val="24"/>
            <w:szCs w:val="24"/>
            <w:lang w:val="en-BZ" w:eastAsia="en-GB"/>
          </w:rPr>
          <w:t>https://www.mspp.gouv.ht/dpmmt/views/front/pharmacovigilance.php</w:t>
        </w:r>
      </w:hyperlink>
      <w:r w:rsidR="003205CB" w:rsidRPr="00786DCC">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1B0204AC" w14:textId="5163B5CE" w:rsidR="00485661" w:rsidRPr="002B64A6" w:rsidRDefault="00485661"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Ministry of Health and Wellness. (2023) VigiAccess. Jamaica: Ministry of Health and Wellness. </w:t>
      </w:r>
      <w:r w:rsidR="00430D9D">
        <w:rPr>
          <w:rFonts w:ascii="Times New Roman" w:hAnsi="Times New Roman" w:cs="Times New Roman"/>
          <w:sz w:val="24"/>
          <w:szCs w:val="24"/>
          <w:lang w:val="en-BZ" w:eastAsia="en-GB"/>
        </w:rPr>
        <w:t xml:space="preserve">Available from: </w:t>
      </w:r>
      <w:hyperlink r:id="rId26" w:history="1">
        <w:r w:rsidR="003205CB" w:rsidRPr="0069550C">
          <w:rPr>
            <w:rStyle w:val="Hyperlink"/>
            <w:rFonts w:ascii="Times New Roman" w:hAnsi="Times New Roman" w:cs="Times New Roman"/>
            <w:sz w:val="24"/>
            <w:szCs w:val="24"/>
            <w:lang w:val="en-BZ" w:eastAsia="en-GB"/>
          </w:rPr>
          <w:t>https://www.moh.gov.jm/standards-and-regulation-division/pharmacovigilance/</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4B97B008" w14:textId="7942739A"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de-DE" w:eastAsia="en-GB"/>
        </w:rPr>
        <w:t xml:space="preserve">Ogar, C. K., Quick, J., Gilbert, H. N., Vreman, R. A., Mantel-Teeuwisse, A. K., &amp; Mugunga, J. C. (2023). </w:t>
      </w:r>
      <w:r w:rsidRPr="002B64A6">
        <w:rPr>
          <w:rFonts w:ascii="Times New Roman" w:hAnsi="Times New Roman" w:cs="Times New Roman"/>
          <w:sz w:val="24"/>
          <w:szCs w:val="24"/>
          <w:lang w:val="en-BZ" w:eastAsia="en-GB"/>
        </w:rPr>
        <w:t xml:space="preserve">Adverse Events to SARS-CoV-2 (COVID-19) Vaccines and Policy Considerations that Inform the Funding of Safety Surveillance in Low- and Middle-Income Countries: A Mixed Methods Study. Drug Safety, 46(4), 357–370. </w:t>
      </w:r>
      <w:r w:rsidR="00430D9D">
        <w:rPr>
          <w:rFonts w:ascii="Times New Roman" w:hAnsi="Times New Roman" w:cs="Times New Roman"/>
          <w:sz w:val="24"/>
          <w:szCs w:val="24"/>
          <w:lang w:val="en-BZ" w:eastAsia="en-GB"/>
        </w:rPr>
        <w:t xml:space="preserve">Available from: </w:t>
      </w:r>
      <w:hyperlink r:id="rId27" w:history="1">
        <w:r w:rsidR="003205CB" w:rsidRPr="0069550C">
          <w:rPr>
            <w:rStyle w:val="Hyperlink"/>
            <w:rFonts w:ascii="Times New Roman" w:hAnsi="Times New Roman" w:cs="Times New Roman"/>
            <w:sz w:val="24"/>
            <w:szCs w:val="24"/>
            <w:lang w:val="en-BZ" w:eastAsia="en-GB"/>
          </w:rPr>
          <w:t>https://doi.org/10.1007/s40264-023-01279-3</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1CF7B9EE" w14:textId="0559DE00"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de-DE" w:eastAsia="en-GB"/>
        </w:rPr>
        <w:t xml:space="preserve">Oosterhuis, I., Scholl, J., Van Puijenbroek, E., Kant, A., &amp; Van Hunsel, F. (2022). </w:t>
      </w:r>
      <w:r w:rsidRPr="002B64A6">
        <w:rPr>
          <w:rFonts w:ascii="Times New Roman" w:hAnsi="Times New Roman" w:cs="Times New Roman"/>
          <w:sz w:val="24"/>
          <w:szCs w:val="24"/>
          <w:lang w:val="en-BZ" w:eastAsia="en-GB"/>
        </w:rPr>
        <w:t xml:space="preserve">Optimizing safety surveillance for COVID-19 vaccines at the National Pharmacovigilance Centre LAREB: One year of COVID-19 vaccine experience. Drug Safety, 46(1), 65–75. </w:t>
      </w:r>
      <w:r w:rsidR="00430D9D">
        <w:rPr>
          <w:rFonts w:ascii="Times New Roman" w:hAnsi="Times New Roman" w:cs="Times New Roman"/>
          <w:sz w:val="24"/>
          <w:szCs w:val="24"/>
          <w:lang w:val="en-BZ" w:eastAsia="en-GB"/>
        </w:rPr>
        <w:t xml:space="preserve">Available from: </w:t>
      </w:r>
      <w:hyperlink r:id="rId28" w:history="1">
        <w:r w:rsidR="003205CB" w:rsidRPr="0069550C">
          <w:rPr>
            <w:rStyle w:val="Hyperlink"/>
            <w:rFonts w:ascii="Times New Roman" w:hAnsi="Times New Roman" w:cs="Times New Roman"/>
            <w:sz w:val="24"/>
            <w:szCs w:val="24"/>
            <w:lang w:val="en-BZ" w:eastAsia="en-GB"/>
          </w:rPr>
          <w:t>https://doi.org/10.1007/s40264-022-01253-5</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007D24A8" w14:textId="63A64DA3"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Pan American Health Organization</w:t>
      </w:r>
      <w:r w:rsidR="003205CB">
        <w:rPr>
          <w:rFonts w:ascii="Times New Roman" w:hAnsi="Times New Roman" w:cs="Times New Roman"/>
          <w:sz w:val="24"/>
          <w:szCs w:val="24"/>
          <w:lang w:val="en-BZ" w:eastAsia="en-GB"/>
        </w:rPr>
        <w:t xml:space="preserve"> (PAHO)</w:t>
      </w:r>
      <w:r w:rsidRPr="002B64A6">
        <w:rPr>
          <w:rFonts w:ascii="Times New Roman" w:hAnsi="Times New Roman" w:cs="Times New Roman"/>
          <w:sz w:val="24"/>
          <w:szCs w:val="24"/>
          <w:lang w:val="en-BZ" w:eastAsia="en-GB"/>
        </w:rPr>
        <w:t xml:space="preserve">. (2022). Terms of Reference: Pharmacovigilance officer surveillance of adverse drug reactions due to covid-19 vaccines. </w:t>
      </w:r>
      <w:r w:rsidR="00430D9D">
        <w:rPr>
          <w:rFonts w:ascii="Times New Roman" w:hAnsi="Times New Roman" w:cs="Times New Roman"/>
          <w:sz w:val="24"/>
          <w:szCs w:val="24"/>
          <w:lang w:val="en-BZ" w:eastAsia="en-GB"/>
        </w:rPr>
        <w:t xml:space="preserve">Available from: </w:t>
      </w:r>
      <w:hyperlink r:id="rId29" w:history="1">
        <w:r w:rsidR="003205CB" w:rsidRPr="0069550C">
          <w:rPr>
            <w:rStyle w:val="Hyperlink"/>
            <w:rFonts w:ascii="Times New Roman" w:hAnsi="Times New Roman" w:cs="Times New Roman"/>
            <w:sz w:val="24"/>
            <w:szCs w:val="24"/>
            <w:lang w:val="en-BZ" w:eastAsia="en-GB"/>
          </w:rPr>
          <w:t>https://www.paho.org/sites/default/files/terms_of_reference_pharmacovigilance_officer_surveillance_of_adverse_drug_reactions_due_to_covid-19_vaccines_0.pdf</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4C1FF372" w14:textId="7DFD436C"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Pan American Health Organization</w:t>
      </w:r>
      <w:r w:rsidR="003205CB">
        <w:rPr>
          <w:rFonts w:ascii="Times New Roman" w:hAnsi="Times New Roman" w:cs="Times New Roman"/>
          <w:sz w:val="24"/>
          <w:szCs w:val="24"/>
          <w:lang w:val="en-BZ" w:eastAsia="en-GB"/>
        </w:rPr>
        <w:t xml:space="preserve"> (PAHO)</w:t>
      </w:r>
      <w:r w:rsidRPr="002B64A6">
        <w:rPr>
          <w:rFonts w:ascii="Times New Roman" w:hAnsi="Times New Roman" w:cs="Times New Roman"/>
          <w:sz w:val="24"/>
          <w:szCs w:val="24"/>
          <w:lang w:val="en-BZ" w:eastAsia="en-GB"/>
        </w:rPr>
        <w:t xml:space="preserve">. (2023). COVID-19 Vaccination in the Americas Dashboard: Week 52, 2021. </w:t>
      </w:r>
      <w:r w:rsidR="00430D9D">
        <w:rPr>
          <w:rFonts w:ascii="Times New Roman" w:hAnsi="Times New Roman" w:cs="Times New Roman"/>
          <w:sz w:val="24"/>
          <w:szCs w:val="24"/>
          <w:lang w:val="en-BZ" w:eastAsia="en-GB"/>
        </w:rPr>
        <w:t xml:space="preserve">Available from: </w:t>
      </w:r>
      <w:hyperlink r:id="rId30" w:history="1">
        <w:r w:rsidR="003205CB" w:rsidRPr="0069550C">
          <w:rPr>
            <w:rStyle w:val="Hyperlink"/>
            <w:rFonts w:ascii="Times New Roman" w:hAnsi="Times New Roman" w:cs="Times New Roman"/>
            <w:sz w:val="24"/>
            <w:szCs w:val="24"/>
            <w:lang w:val="en-BZ" w:eastAsia="en-GB"/>
          </w:rPr>
          <w:t>https://ais.paho.org/imm/IM_DosisAdmin-Vacunacion.asp</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067C3CDF" w14:textId="781084EF"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Pan American Health Organization</w:t>
      </w:r>
      <w:r w:rsidR="003205CB">
        <w:rPr>
          <w:rFonts w:ascii="Times New Roman" w:hAnsi="Times New Roman" w:cs="Times New Roman"/>
          <w:sz w:val="24"/>
          <w:szCs w:val="24"/>
          <w:lang w:val="en-BZ" w:eastAsia="en-GB"/>
        </w:rPr>
        <w:t xml:space="preserve"> (PAHO)</w:t>
      </w:r>
      <w:r w:rsidRPr="002B64A6">
        <w:rPr>
          <w:rFonts w:ascii="Times New Roman" w:hAnsi="Times New Roman" w:cs="Times New Roman"/>
          <w:sz w:val="24"/>
          <w:szCs w:val="24"/>
          <w:lang w:val="en-BZ" w:eastAsia="en-GB"/>
        </w:rPr>
        <w:t>. (</w:t>
      </w:r>
      <w:r w:rsidR="00E25F44" w:rsidRPr="002B64A6">
        <w:rPr>
          <w:rFonts w:ascii="Times New Roman" w:hAnsi="Times New Roman" w:cs="Times New Roman"/>
          <w:sz w:val="24"/>
          <w:szCs w:val="24"/>
          <w:lang w:val="en-BZ" w:eastAsia="en-GB"/>
        </w:rPr>
        <w:t>n.d.</w:t>
      </w:r>
      <w:r w:rsidRPr="002B64A6">
        <w:rPr>
          <w:rFonts w:ascii="Times New Roman" w:hAnsi="Times New Roman" w:cs="Times New Roman"/>
          <w:sz w:val="24"/>
          <w:szCs w:val="24"/>
          <w:lang w:val="en-BZ" w:eastAsia="en-GB"/>
        </w:rPr>
        <w:t xml:space="preserve">). Haiti: Country Profile for COVID-19 Vaccination. </w:t>
      </w:r>
      <w:r w:rsidR="00430D9D">
        <w:rPr>
          <w:rFonts w:ascii="Times New Roman" w:hAnsi="Times New Roman" w:cs="Times New Roman"/>
          <w:sz w:val="24"/>
          <w:szCs w:val="24"/>
          <w:lang w:val="en-BZ" w:eastAsia="en-GB"/>
        </w:rPr>
        <w:t xml:space="preserve">Available from: </w:t>
      </w:r>
      <w:hyperlink r:id="rId31" w:history="1">
        <w:r w:rsidR="003205CB" w:rsidRPr="0069550C">
          <w:rPr>
            <w:rStyle w:val="Hyperlink"/>
            <w:rFonts w:ascii="Times New Roman" w:hAnsi="Times New Roman" w:cs="Times New Roman"/>
            <w:sz w:val="24"/>
            <w:szCs w:val="24"/>
            <w:lang w:val="en-BZ" w:eastAsia="en-GB"/>
          </w:rPr>
          <w:t>https://im-data-paho.github.io/cov19-country-profiles/en/report_HTI.html</w:t>
        </w:r>
      </w:hyperlink>
      <w:r w:rsidR="003205CB">
        <w:rPr>
          <w:rFonts w:ascii="Times New Roman" w:hAnsi="Times New Roman" w:cs="Times New Roman"/>
          <w:sz w:val="24"/>
          <w:szCs w:val="24"/>
          <w:lang w:val="en-BZ" w:eastAsia="en-GB"/>
        </w:rPr>
        <w:t xml:space="preserve"> </w:t>
      </w:r>
      <w:r w:rsidRPr="002B64A6">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36C92458" w14:textId="2236C8E5"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Pan American Health Organization</w:t>
      </w:r>
      <w:r w:rsidR="003205CB">
        <w:rPr>
          <w:rFonts w:ascii="Times New Roman" w:hAnsi="Times New Roman" w:cs="Times New Roman"/>
          <w:sz w:val="24"/>
          <w:szCs w:val="24"/>
          <w:lang w:val="en-BZ" w:eastAsia="en-GB"/>
        </w:rPr>
        <w:t xml:space="preserve"> (P</w:t>
      </w:r>
      <w:r w:rsidR="003205CB">
        <w:rPr>
          <w:rFonts w:ascii="Times New Roman" w:hAnsi="Times New Roman" w:cs="Times New Roman"/>
          <w:caps/>
          <w:sz w:val="24"/>
          <w:szCs w:val="24"/>
          <w:lang w:val="en-BZ" w:eastAsia="en-GB"/>
        </w:rPr>
        <w:t>AHO) (2020)</w:t>
      </w:r>
      <w:r w:rsidRPr="002B64A6">
        <w:rPr>
          <w:rFonts w:ascii="Times New Roman" w:hAnsi="Times New Roman" w:cs="Times New Roman"/>
          <w:sz w:val="24"/>
          <w:szCs w:val="24"/>
          <w:lang w:val="en-BZ" w:eastAsia="en-GB"/>
        </w:rPr>
        <w:t xml:space="preserve">. Post-authorization Surveillance of Medical Products during a Pandemic Emergency. Available from: </w:t>
      </w:r>
      <w:hyperlink r:id="rId32" w:history="1">
        <w:r w:rsidR="003205CB" w:rsidRPr="0069550C">
          <w:rPr>
            <w:rStyle w:val="Hyperlink"/>
            <w:rFonts w:ascii="Times New Roman" w:hAnsi="Times New Roman" w:cs="Times New Roman"/>
            <w:sz w:val="24"/>
            <w:szCs w:val="24"/>
            <w:lang w:val="en-BZ" w:eastAsia="en-GB"/>
          </w:rPr>
          <w:t>https://covid-19pharmacovigilance.paho.org/img/recursos/60783d0f4550988aa8bd763c3.pdf</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r w:rsidRPr="002B64A6">
        <w:rPr>
          <w:rFonts w:ascii="Times New Roman" w:hAnsi="Times New Roman" w:cs="Times New Roman"/>
          <w:sz w:val="24"/>
          <w:szCs w:val="24"/>
          <w:lang w:val="en-BZ" w:eastAsia="en-GB"/>
        </w:rPr>
        <w:t xml:space="preserve">  </w:t>
      </w:r>
    </w:p>
    <w:p w14:paraId="3E413ED1" w14:textId="2CC8CB06" w:rsidR="00F43AB9" w:rsidRPr="002B64A6" w:rsidRDefault="00E25F44"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GIS.</w:t>
      </w:r>
      <w:r w:rsidR="00F43AB9" w:rsidRPr="002B64A6">
        <w:rPr>
          <w:rFonts w:ascii="Times New Roman" w:hAnsi="Times New Roman" w:cs="Times New Roman"/>
          <w:sz w:val="24"/>
          <w:szCs w:val="24"/>
          <w:lang w:val="en-BZ" w:eastAsia="en-GB"/>
        </w:rPr>
        <w:t xml:space="preserve"> (2021). Drug Service survey on vaccine side effects. </w:t>
      </w:r>
      <w:r w:rsidRPr="002B64A6">
        <w:rPr>
          <w:rFonts w:ascii="Times New Roman" w:hAnsi="Times New Roman" w:cs="Times New Roman"/>
          <w:sz w:val="24"/>
          <w:szCs w:val="24"/>
          <w:lang w:val="en-BZ" w:eastAsia="en-GB"/>
        </w:rPr>
        <w:t>Government Information Service.</w:t>
      </w:r>
      <w:r w:rsidR="00F43AB9" w:rsidRPr="002B64A6">
        <w:rPr>
          <w:rFonts w:ascii="Times New Roman" w:hAnsi="Times New Roman" w:cs="Times New Roman"/>
          <w:sz w:val="24"/>
          <w:szCs w:val="24"/>
          <w:lang w:val="en-BZ" w:eastAsia="en-GB"/>
        </w:rPr>
        <w:t xml:space="preserve"> </w:t>
      </w:r>
      <w:r w:rsidR="003205CB">
        <w:rPr>
          <w:rFonts w:ascii="Times New Roman" w:hAnsi="Times New Roman" w:cs="Times New Roman"/>
          <w:sz w:val="24"/>
          <w:szCs w:val="24"/>
          <w:lang w:val="en-BZ" w:eastAsia="en-GB"/>
        </w:rPr>
        <w:t xml:space="preserve">Available from: </w:t>
      </w:r>
      <w:hyperlink r:id="rId33" w:history="1">
        <w:r w:rsidR="003205CB" w:rsidRPr="0069550C">
          <w:rPr>
            <w:rStyle w:val="Hyperlink"/>
            <w:rFonts w:ascii="Times New Roman" w:hAnsi="Times New Roman" w:cs="Times New Roman"/>
            <w:sz w:val="24"/>
            <w:szCs w:val="24"/>
            <w:lang w:val="en-BZ" w:eastAsia="en-GB"/>
          </w:rPr>
          <w:t>https://gisbarbados.gov.bb/blog/drug-service-survey-on-vaccine-side-effects/</w:t>
        </w:r>
      </w:hyperlink>
      <w:r w:rsidR="003205CB">
        <w:rPr>
          <w:rFonts w:ascii="Times New Roman" w:hAnsi="Times New Roman" w:cs="Times New Roman"/>
          <w:sz w:val="24"/>
          <w:szCs w:val="24"/>
          <w:lang w:val="en-BZ" w:eastAsia="en-GB"/>
        </w:rPr>
        <w:t xml:space="preserve"> </w:t>
      </w:r>
      <w:r w:rsidR="003205CB" w:rsidRPr="00B6430B">
        <w:rPr>
          <w:rFonts w:ascii="Times New Roman" w:hAnsi="Times New Roman" w:cs="Times New Roman"/>
          <w:sz w:val="24"/>
          <w:szCs w:val="24"/>
          <w:lang w:val="en-BZ" w:eastAsia="en-GB"/>
        </w:rPr>
        <w:t>(Accessed</w:t>
      </w:r>
      <w:r w:rsidR="003205CB">
        <w:rPr>
          <w:rFonts w:ascii="Times New Roman" w:hAnsi="Times New Roman" w:cs="Times New Roman"/>
          <w:sz w:val="24"/>
          <w:szCs w:val="24"/>
          <w:lang w:val="en-BZ" w:eastAsia="en-GB"/>
        </w:rPr>
        <w:t xml:space="preserve"> on July 10, 2024)</w:t>
      </w:r>
    </w:p>
    <w:p w14:paraId="51BDE873" w14:textId="400A2590"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s-GT" w:eastAsia="en-GB"/>
        </w:rPr>
        <w:t xml:space="preserve">Rudolph, A., Mitchell, J., Barrett, J., Sköld, H., Taavola, H., Erlanson, N., Melgarejo-González, C., &amp; Yue, Q. (2022). </w:t>
      </w:r>
      <w:r w:rsidRPr="002B64A6">
        <w:rPr>
          <w:rFonts w:ascii="Times New Roman" w:hAnsi="Times New Roman" w:cs="Times New Roman"/>
          <w:sz w:val="24"/>
          <w:szCs w:val="24"/>
          <w:lang w:val="en-BZ" w:eastAsia="en-GB"/>
        </w:rPr>
        <w:t xml:space="preserve">Global safety monitoring of COVID-19 vaccines: how pharmacovigilance rose to the challenge. Therapeutic Advances in Drug Safety, 13, 204209862211189. </w:t>
      </w:r>
      <w:r w:rsidR="00F32523">
        <w:rPr>
          <w:rFonts w:ascii="Times New Roman" w:hAnsi="Times New Roman" w:cs="Times New Roman"/>
          <w:sz w:val="24"/>
          <w:szCs w:val="24"/>
          <w:lang w:val="en-BZ" w:eastAsia="en-GB"/>
        </w:rPr>
        <w:t xml:space="preserve">Available from: </w:t>
      </w:r>
      <w:hyperlink r:id="rId34" w:history="1">
        <w:r w:rsidR="00F32523" w:rsidRPr="0069550C">
          <w:rPr>
            <w:rStyle w:val="Hyperlink"/>
            <w:rFonts w:ascii="Times New Roman" w:hAnsi="Times New Roman" w:cs="Times New Roman"/>
            <w:sz w:val="24"/>
            <w:szCs w:val="24"/>
            <w:lang w:val="en-BZ" w:eastAsia="en-GB"/>
          </w:rPr>
          <w:t>https://doi.org/10.1177/20420986221118972</w:t>
        </w:r>
      </w:hyperlink>
      <w:r w:rsidR="00F32523">
        <w:rPr>
          <w:rFonts w:ascii="Times New Roman" w:hAnsi="Times New Roman" w:cs="Times New Roman"/>
          <w:sz w:val="24"/>
          <w:szCs w:val="24"/>
          <w:lang w:val="en-BZ" w:eastAsia="en-GB"/>
        </w:rPr>
        <w:t xml:space="preserve"> </w:t>
      </w:r>
      <w:r w:rsidR="00F32523" w:rsidRPr="00B6430B">
        <w:rPr>
          <w:rFonts w:ascii="Times New Roman" w:hAnsi="Times New Roman" w:cs="Times New Roman"/>
          <w:sz w:val="24"/>
          <w:szCs w:val="24"/>
          <w:lang w:val="en-BZ" w:eastAsia="en-GB"/>
        </w:rPr>
        <w:t>(Accessed</w:t>
      </w:r>
      <w:r w:rsidR="00F32523">
        <w:rPr>
          <w:rFonts w:ascii="Times New Roman" w:hAnsi="Times New Roman" w:cs="Times New Roman"/>
          <w:sz w:val="24"/>
          <w:szCs w:val="24"/>
          <w:lang w:val="en-BZ" w:eastAsia="en-GB"/>
        </w:rPr>
        <w:t xml:space="preserve"> on July 10, 2024)</w:t>
      </w:r>
    </w:p>
    <w:p w14:paraId="27F4EA25" w14:textId="7C2858C2"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St. Vincent and the Grenadines. Public Health (Emergency Authorization of COVID-19 Vaccine) Rules (2021). </w:t>
      </w:r>
      <w:r w:rsidR="00F32523">
        <w:rPr>
          <w:rFonts w:ascii="Times New Roman" w:hAnsi="Times New Roman" w:cs="Times New Roman"/>
          <w:sz w:val="24"/>
          <w:szCs w:val="24"/>
          <w:lang w:val="en-BZ" w:eastAsia="en-GB"/>
        </w:rPr>
        <w:t xml:space="preserve">Available from: </w:t>
      </w:r>
      <w:hyperlink r:id="rId35" w:history="1">
        <w:r w:rsidR="00F32523" w:rsidRPr="0069550C">
          <w:rPr>
            <w:rStyle w:val="Hyperlink"/>
            <w:rFonts w:ascii="Times New Roman" w:hAnsi="Times New Roman" w:cs="Times New Roman"/>
            <w:sz w:val="24"/>
            <w:szCs w:val="24"/>
            <w:lang w:val="en-BZ" w:eastAsia="en-GB"/>
          </w:rPr>
          <w:t>https://health.gov.vc/health/images/stories/PDF/SRO-Public_Health_Emergency_Authorisation_of_Covid-19_Vaccine.pdf</w:t>
        </w:r>
      </w:hyperlink>
      <w:r w:rsidR="00F32523">
        <w:rPr>
          <w:rFonts w:ascii="Times New Roman" w:hAnsi="Times New Roman" w:cs="Times New Roman"/>
          <w:sz w:val="24"/>
          <w:szCs w:val="24"/>
          <w:lang w:val="en-BZ" w:eastAsia="en-GB"/>
        </w:rPr>
        <w:t xml:space="preserve"> </w:t>
      </w:r>
      <w:r w:rsidR="00F32523" w:rsidRPr="00B6430B">
        <w:rPr>
          <w:rFonts w:ascii="Times New Roman" w:hAnsi="Times New Roman" w:cs="Times New Roman"/>
          <w:sz w:val="24"/>
          <w:szCs w:val="24"/>
          <w:lang w:val="en-BZ" w:eastAsia="en-GB"/>
        </w:rPr>
        <w:t>(Accessed</w:t>
      </w:r>
      <w:r w:rsidR="00F32523">
        <w:rPr>
          <w:rFonts w:ascii="Times New Roman" w:hAnsi="Times New Roman" w:cs="Times New Roman"/>
          <w:sz w:val="24"/>
          <w:szCs w:val="24"/>
          <w:lang w:val="en-BZ" w:eastAsia="en-GB"/>
        </w:rPr>
        <w:t xml:space="preserve"> on July 10, 2024)</w:t>
      </w:r>
    </w:p>
    <w:p w14:paraId="7085626F" w14:textId="37BF3F06"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Uppsala Monitoring Centre. (n.d.). The WHO Programme for international Drug Monitoring. </w:t>
      </w:r>
      <w:r w:rsidR="00F32523">
        <w:rPr>
          <w:rFonts w:ascii="Times New Roman" w:hAnsi="Times New Roman" w:cs="Times New Roman"/>
          <w:sz w:val="24"/>
          <w:szCs w:val="24"/>
          <w:lang w:val="en-BZ" w:eastAsia="en-GB"/>
        </w:rPr>
        <w:t xml:space="preserve">Available from: </w:t>
      </w:r>
      <w:hyperlink r:id="rId36" w:history="1">
        <w:r w:rsidR="00F32523" w:rsidRPr="0069550C">
          <w:rPr>
            <w:rStyle w:val="Hyperlink"/>
            <w:rFonts w:ascii="Times New Roman" w:hAnsi="Times New Roman" w:cs="Times New Roman"/>
            <w:sz w:val="24"/>
            <w:szCs w:val="24"/>
            <w:lang w:val="en-BZ" w:eastAsia="en-GB"/>
          </w:rPr>
          <w:t>https://who-umc.org/about-the-who-programme-for-international-drug-monitoring/</w:t>
        </w:r>
      </w:hyperlink>
      <w:r w:rsidR="00F32523">
        <w:rPr>
          <w:rFonts w:ascii="Times New Roman" w:hAnsi="Times New Roman" w:cs="Times New Roman"/>
          <w:sz w:val="24"/>
          <w:szCs w:val="24"/>
          <w:lang w:val="en-BZ" w:eastAsia="en-GB"/>
        </w:rPr>
        <w:t xml:space="preserve"> </w:t>
      </w:r>
      <w:r w:rsidR="00F32523" w:rsidRPr="00B6430B">
        <w:rPr>
          <w:rFonts w:ascii="Times New Roman" w:hAnsi="Times New Roman" w:cs="Times New Roman"/>
          <w:sz w:val="24"/>
          <w:szCs w:val="24"/>
          <w:lang w:val="en-BZ" w:eastAsia="en-GB"/>
        </w:rPr>
        <w:t>(Accessed</w:t>
      </w:r>
      <w:r w:rsidR="00F32523">
        <w:rPr>
          <w:rFonts w:ascii="Times New Roman" w:hAnsi="Times New Roman" w:cs="Times New Roman"/>
          <w:sz w:val="24"/>
          <w:szCs w:val="24"/>
          <w:lang w:val="en-BZ" w:eastAsia="en-GB"/>
        </w:rPr>
        <w:t xml:space="preserve"> on July 10, 2024)</w:t>
      </w:r>
    </w:p>
    <w:p w14:paraId="3A4B4085" w14:textId="58DD2EB1"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UWItv. (2021). Pharmacovigilance: monitoring the safety of COVID-19 vaccines in Barbados. </w:t>
      </w:r>
      <w:r w:rsidR="00F32523">
        <w:rPr>
          <w:rFonts w:ascii="Times New Roman" w:hAnsi="Times New Roman" w:cs="Times New Roman"/>
          <w:sz w:val="24"/>
          <w:szCs w:val="24"/>
          <w:lang w:val="en-BZ" w:eastAsia="en-GB"/>
        </w:rPr>
        <w:t xml:space="preserve">Available from: </w:t>
      </w:r>
      <w:hyperlink r:id="rId37" w:history="1">
        <w:r w:rsidR="00F32523" w:rsidRPr="0069550C">
          <w:rPr>
            <w:rStyle w:val="Hyperlink"/>
            <w:rFonts w:ascii="Times New Roman" w:hAnsi="Times New Roman" w:cs="Times New Roman"/>
            <w:sz w:val="24"/>
            <w:szCs w:val="24"/>
            <w:lang w:val="en-BZ" w:eastAsia="en-GB"/>
          </w:rPr>
          <w:t>https://fb.watch/mO54-meBHb/</w:t>
        </w:r>
      </w:hyperlink>
      <w:r w:rsidR="00F32523">
        <w:rPr>
          <w:rFonts w:ascii="Times New Roman" w:hAnsi="Times New Roman" w:cs="Times New Roman"/>
          <w:sz w:val="24"/>
          <w:szCs w:val="24"/>
          <w:lang w:val="en-BZ" w:eastAsia="en-GB"/>
        </w:rPr>
        <w:t xml:space="preserve"> </w:t>
      </w:r>
      <w:r w:rsidR="00F32523" w:rsidRPr="00B6430B">
        <w:rPr>
          <w:rFonts w:ascii="Times New Roman" w:hAnsi="Times New Roman" w:cs="Times New Roman"/>
          <w:sz w:val="24"/>
          <w:szCs w:val="24"/>
          <w:lang w:val="en-BZ" w:eastAsia="en-GB"/>
        </w:rPr>
        <w:t>(Accessed</w:t>
      </w:r>
      <w:r w:rsidR="00F32523">
        <w:rPr>
          <w:rFonts w:ascii="Times New Roman" w:hAnsi="Times New Roman" w:cs="Times New Roman"/>
          <w:sz w:val="24"/>
          <w:szCs w:val="24"/>
          <w:lang w:val="en-BZ" w:eastAsia="en-GB"/>
        </w:rPr>
        <w:t xml:space="preserve"> on July 10, 2024)</w:t>
      </w:r>
    </w:p>
    <w:p w14:paraId="0B5E085F" w14:textId="385525F3"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Walker, K. E., Bankay, R., Jankie, S., &amp; Dhingra, S. (2023). Pharmacovigilance in the Caribbean Countries: an Overview. Current Pharmacology Reports, 9(4), 217–227. </w:t>
      </w:r>
      <w:r w:rsidR="00F32523">
        <w:rPr>
          <w:rFonts w:ascii="Times New Roman" w:hAnsi="Times New Roman" w:cs="Times New Roman"/>
          <w:sz w:val="24"/>
          <w:szCs w:val="24"/>
          <w:lang w:val="en-BZ" w:eastAsia="en-GB"/>
        </w:rPr>
        <w:t xml:space="preserve">Available from: </w:t>
      </w:r>
      <w:hyperlink r:id="rId38" w:history="1">
        <w:r w:rsidR="00F32523" w:rsidRPr="0069550C">
          <w:rPr>
            <w:rStyle w:val="Hyperlink"/>
            <w:rFonts w:ascii="Times New Roman" w:hAnsi="Times New Roman" w:cs="Times New Roman"/>
            <w:sz w:val="24"/>
            <w:szCs w:val="24"/>
            <w:lang w:val="en-BZ" w:eastAsia="en-GB"/>
          </w:rPr>
          <w:t>https://doi.org/10.1007/s40495-023-00320-4</w:t>
        </w:r>
      </w:hyperlink>
      <w:r w:rsidR="00F32523">
        <w:rPr>
          <w:rFonts w:ascii="Times New Roman" w:hAnsi="Times New Roman" w:cs="Times New Roman"/>
          <w:sz w:val="24"/>
          <w:szCs w:val="24"/>
          <w:lang w:val="en-BZ" w:eastAsia="en-GB"/>
        </w:rPr>
        <w:t xml:space="preserve"> </w:t>
      </w:r>
      <w:r w:rsidR="00F32523" w:rsidRPr="00B6430B">
        <w:rPr>
          <w:rFonts w:ascii="Times New Roman" w:hAnsi="Times New Roman" w:cs="Times New Roman"/>
          <w:sz w:val="24"/>
          <w:szCs w:val="24"/>
          <w:lang w:val="en-BZ" w:eastAsia="en-GB"/>
        </w:rPr>
        <w:t>(Accessed</w:t>
      </w:r>
      <w:r w:rsidR="00F32523">
        <w:rPr>
          <w:rFonts w:ascii="Times New Roman" w:hAnsi="Times New Roman" w:cs="Times New Roman"/>
          <w:sz w:val="24"/>
          <w:szCs w:val="24"/>
          <w:lang w:val="en-BZ" w:eastAsia="en-GB"/>
        </w:rPr>
        <w:t xml:space="preserve"> on July 10, 2024)</w:t>
      </w:r>
    </w:p>
    <w:p w14:paraId="48D52F57" w14:textId="6EB780BC" w:rsidR="008B56F2" w:rsidRPr="002B64A6" w:rsidRDefault="00F43AB9" w:rsidP="008B56F2">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Watson, O. J., Barnsley, G., Toor, J., Hogan, A. B., Winskill, P., &amp; Ghani, A. C. (2022). Global impact of the first year of COVID-19 vaccination: a mathematical modelling study. Lancet. Infectious Diseases/the Lancet. Infectious Diseases, 22(9), 1293–1302. </w:t>
      </w:r>
      <w:r w:rsidR="008B56F2">
        <w:rPr>
          <w:rFonts w:ascii="Times New Roman" w:hAnsi="Times New Roman" w:cs="Times New Roman"/>
          <w:sz w:val="24"/>
          <w:szCs w:val="24"/>
          <w:lang w:val="en-BZ" w:eastAsia="en-GB"/>
        </w:rPr>
        <w:t xml:space="preserve">Available from: </w:t>
      </w:r>
      <w:hyperlink r:id="rId39" w:history="1">
        <w:r w:rsidR="008B56F2" w:rsidRPr="0069550C">
          <w:rPr>
            <w:rStyle w:val="Hyperlink"/>
            <w:rFonts w:ascii="Times New Roman" w:hAnsi="Times New Roman" w:cs="Times New Roman"/>
            <w:sz w:val="24"/>
            <w:szCs w:val="24"/>
            <w:lang w:val="en-BZ" w:eastAsia="en-GB"/>
          </w:rPr>
          <w:t>https://doi.org/10.1016/s1473-3099(22)00320-6</w:t>
        </w:r>
      </w:hyperlink>
      <w:r w:rsidR="00F32523">
        <w:rPr>
          <w:rFonts w:ascii="Times New Roman" w:hAnsi="Times New Roman" w:cs="Times New Roman"/>
          <w:sz w:val="24"/>
          <w:szCs w:val="24"/>
          <w:lang w:val="en-BZ" w:eastAsia="en-GB"/>
        </w:rPr>
        <w:t xml:space="preserve"> </w:t>
      </w:r>
      <w:r w:rsidR="008B56F2" w:rsidRPr="00B6430B">
        <w:rPr>
          <w:rFonts w:ascii="Times New Roman" w:hAnsi="Times New Roman" w:cs="Times New Roman"/>
          <w:sz w:val="24"/>
          <w:szCs w:val="24"/>
          <w:lang w:val="en-BZ" w:eastAsia="en-GB"/>
        </w:rPr>
        <w:t>(Accessed</w:t>
      </w:r>
      <w:r w:rsidR="008B56F2">
        <w:rPr>
          <w:rFonts w:ascii="Times New Roman" w:hAnsi="Times New Roman" w:cs="Times New Roman"/>
          <w:sz w:val="24"/>
          <w:szCs w:val="24"/>
          <w:lang w:val="en-BZ" w:eastAsia="en-GB"/>
        </w:rPr>
        <w:t xml:space="preserve"> on July 10, 2024)</w:t>
      </w:r>
    </w:p>
    <w:p w14:paraId="7C9AF6BB" w14:textId="77777777" w:rsidR="008B56F2" w:rsidRPr="002B64A6" w:rsidRDefault="00F43AB9" w:rsidP="008B56F2">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World Health Organization. (2020). COVID-19 Vaccine Safety Surveillance manual. 1st edition. </w:t>
      </w:r>
      <w:r w:rsidR="008B56F2">
        <w:rPr>
          <w:rFonts w:ascii="Times New Roman" w:hAnsi="Times New Roman" w:cs="Times New Roman"/>
          <w:sz w:val="24"/>
          <w:szCs w:val="24"/>
          <w:lang w:val="en-BZ" w:eastAsia="en-GB"/>
        </w:rPr>
        <w:t xml:space="preserve">  Available from: </w:t>
      </w:r>
      <w:hyperlink r:id="rId40" w:history="1">
        <w:r w:rsidR="008B56F2" w:rsidRPr="0069550C">
          <w:rPr>
            <w:rStyle w:val="Hyperlink"/>
            <w:rFonts w:ascii="Times New Roman" w:hAnsi="Times New Roman" w:cs="Times New Roman"/>
            <w:sz w:val="24"/>
            <w:szCs w:val="24"/>
            <w:lang w:val="en-BZ" w:eastAsia="en-GB"/>
          </w:rPr>
          <w:t>https://www.who.int/docs/default-source/covid-19-vaccines-safety-surveillance-manual/covid19vaccines_manual_aefi_20210104.pdf</w:t>
        </w:r>
      </w:hyperlink>
      <w:r w:rsidR="008B56F2">
        <w:rPr>
          <w:rFonts w:ascii="Times New Roman" w:hAnsi="Times New Roman" w:cs="Times New Roman"/>
          <w:sz w:val="24"/>
          <w:szCs w:val="24"/>
          <w:lang w:val="en-BZ" w:eastAsia="en-GB"/>
        </w:rPr>
        <w:t xml:space="preserve"> </w:t>
      </w:r>
      <w:r w:rsidR="008B56F2" w:rsidRPr="00B6430B">
        <w:rPr>
          <w:rFonts w:ascii="Times New Roman" w:hAnsi="Times New Roman" w:cs="Times New Roman"/>
          <w:sz w:val="24"/>
          <w:szCs w:val="24"/>
          <w:lang w:val="en-BZ" w:eastAsia="en-GB"/>
        </w:rPr>
        <w:t>(Accessed</w:t>
      </w:r>
      <w:r w:rsidR="008B56F2">
        <w:rPr>
          <w:rFonts w:ascii="Times New Roman" w:hAnsi="Times New Roman" w:cs="Times New Roman"/>
          <w:sz w:val="24"/>
          <w:szCs w:val="24"/>
          <w:lang w:val="en-BZ" w:eastAsia="en-GB"/>
        </w:rPr>
        <w:t xml:space="preserve"> on July 10, 2024)</w:t>
      </w:r>
    </w:p>
    <w:p w14:paraId="0636704F" w14:textId="5FF86F13" w:rsidR="00F43AB9" w:rsidRPr="002B64A6" w:rsidRDefault="00F43AB9" w:rsidP="002B64A6">
      <w:pPr>
        <w:rPr>
          <w:rFonts w:ascii="Times New Roman" w:hAnsi="Times New Roman" w:cs="Times New Roman"/>
          <w:sz w:val="24"/>
          <w:szCs w:val="24"/>
          <w:lang w:val="en-BZ" w:eastAsia="en-GB"/>
        </w:rPr>
      </w:pPr>
    </w:p>
    <w:p w14:paraId="3A50DDE5" w14:textId="54FF602E" w:rsidR="00F43AB9" w:rsidRPr="002B64A6" w:rsidRDefault="00F43AB9" w:rsidP="002B64A6">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World Health Organization. (2020). COVID-19 vaccines: safety surveillance manual. </w:t>
      </w:r>
      <w:r w:rsidR="008B56F2">
        <w:rPr>
          <w:rFonts w:ascii="Times New Roman" w:hAnsi="Times New Roman" w:cs="Times New Roman"/>
          <w:sz w:val="24"/>
          <w:szCs w:val="24"/>
          <w:lang w:val="en-BZ" w:eastAsia="en-GB"/>
        </w:rPr>
        <w:t xml:space="preserve">Available from: </w:t>
      </w:r>
      <w:hyperlink r:id="rId41" w:history="1">
        <w:r w:rsidR="008B56F2" w:rsidRPr="0069550C">
          <w:rPr>
            <w:rStyle w:val="Hyperlink"/>
            <w:rFonts w:ascii="Times New Roman" w:hAnsi="Times New Roman" w:cs="Times New Roman"/>
            <w:sz w:val="24"/>
            <w:szCs w:val="24"/>
            <w:lang w:val="en-BZ" w:eastAsia="en-GB"/>
          </w:rPr>
          <w:t>https://apps.who.int/iris/handle/10665/338400</w:t>
        </w:r>
      </w:hyperlink>
      <w:r w:rsidR="008B56F2">
        <w:rPr>
          <w:rFonts w:ascii="Times New Roman" w:hAnsi="Times New Roman" w:cs="Times New Roman"/>
          <w:sz w:val="24"/>
          <w:szCs w:val="24"/>
          <w:lang w:val="en-BZ" w:eastAsia="en-GB"/>
        </w:rPr>
        <w:t xml:space="preserve"> </w:t>
      </w:r>
      <w:r w:rsidR="008B56F2" w:rsidRPr="00B6430B">
        <w:rPr>
          <w:rFonts w:ascii="Times New Roman" w:hAnsi="Times New Roman" w:cs="Times New Roman"/>
          <w:sz w:val="24"/>
          <w:szCs w:val="24"/>
          <w:lang w:val="en-BZ" w:eastAsia="en-GB"/>
        </w:rPr>
        <w:t>(Accessed</w:t>
      </w:r>
      <w:r w:rsidR="008B56F2">
        <w:rPr>
          <w:rFonts w:ascii="Times New Roman" w:hAnsi="Times New Roman" w:cs="Times New Roman"/>
          <w:sz w:val="24"/>
          <w:szCs w:val="24"/>
          <w:lang w:val="en-BZ" w:eastAsia="en-GB"/>
        </w:rPr>
        <w:t xml:space="preserve"> on July 10, 2024)</w:t>
      </w:r>
    </w:p>
    <w:p w14:paraId="3214FF12" w14:textId="1A8AAC44" w:rsidR="008B56F2" w:rsidRPr="002B64A6" w:rsidRDefault="00F43AB9" w:rsidP="008B56F2">
      <w:pPr>
        <w:rPr>
          <w:rFonts w:ascii="Times New Roman" w:hAnsi="Times New Roman" w:cs="Times New Roman"/>
          <w:sz w:val="24"/>
          <w:szCs w:val="24"/>
          <w:lang w:val="en-BZ" w:eastAsia="en-GB"/>
        </w:rPr>
      </w:pPr>
      <w:r w:rsidRPr="002B64A6">
        <w:rPr>
          <w:rFonts w:ascii="Times New Roman" w:hAnsi="Times New Roman" w:cs="Times New Roman"/>
          <w:sz w:val="24"/>
          <w:szCs w:val="24"/>
          <w:lang w:val="en-BZ" w:eastAsia="en-GB"/>
        </w:rPr>
        <w:t xml:space="preserve">World Health Organization. (2023). Pharmacovigilance. </w:t>
      </w:r>
      <w:r w:rsidR="008B56F2">
        <w:rPr>
          <w:rFonts w:ascii="Times New Roman" w:hAnsi="Times New Roman" w:cs="Times New Roman"/>
          <w:sz w:val="24"/>
          <w:szCs w:val="24"/>
          <w:lang w:val="en-BZ" w:eastAsia="en-GB"/>
        </w:rPr>
        <w:t xml:space="preserve">Available from: </w:t>
      </w:r>
      <w:hyperlink r:id="rId42" w:history="1">
        <w:r w:rsidR="008B56F2" w:rsidRPr="0069550C">
          <w:rPr>
            <w:rStyle w:val="Hyperlink"/>
            <w:rFonts w:ascii="Times New Roman" w:hAnsi="Times New Roman" w:cs="Times New Roman"/>
            <w:sz w:val="24"/>
            <w:szCs w:val="24"/>
            <w:lang w:val="en-BZ" w:eastAsia="en-GB"/>
          </w:rPr>
          <w:t>https://www.who.int/teams/regulation-prequalification/regulation-and-safety/pharmacovigilance</w:t>
        </w:r>
      </w:hyperlink>
      <w:r w:rsidR="008B56F2">
        <w:rPr>
          <w:rFonts w:ascii="Times New Roman" w:hAnsi="Times New Roman" w:cs="Times New Roman"/>
          <w:sz w:val="24"/>
          <w:szCs w:val="24"/>
          <w:lang w:val="en-BZ" w:eastAsia="en-GB"/>
        </w:rPr>
        <w:t xml:space="preserve"> </w:t>
      </w:r>
      <w:r w:rsidR="008B56F2" w:rsidRPr="00B6430B">
        <w:rPr>
          <w:rFonts w:ascii="Times New Roman" w:hAnsi="Times New Roman" w:cs="Times New Roman"/>
          <w:sz w:val="24"/>
          <w:szCs w:val="24"/>
          <w:lang w:val="en-BZ" w:eastAsia="en-GB"/>
        </w:rPr>
        <w:t>(Accessed</w:t>
      </w:r>
      <w:r w:rsidR="008B56F2">
        <w:rPr>
          <w:rFonts w:ascii="Times New Roman" w:hAnsi="Times New Roman" w:cs="Times New Roman"/>
          <w:sz w:val="24"/>
          <w:szCs w:val="24"/>
          <w:lang w:val="en-BZ" w:eastAsia="en-GB"/>
        </w:rPr>
        <w:t xml:space="preserve"> on July 10, 2024)</w:t>
      </w:r>
    </w:p>
    <w:p w14:paraId="0EFD9724" w14:textId="6A8A2B8E" w:rsidR="00F43AB9" w:rsidRPr="002B64A6" w:rsidRDefault="00F43AB9" w:rsidP="002B64A6">
      <w:pPr>
        <w:rPr>
          <w:rFonts w:ascii="Times New Roman" w:hAnsi="Times New Roman" w:cs="Times New Roman"/>
          <w:sz w:val="24"/>
          <w:szCs w:val="24"/>
          <w:lang w:val="en-BZ" w:eastAsia="en-GB"/>
        </w:rPr>
      </w:pPr>
    </w:p>
    <w:sectPr w:rsidR="00F43AB9" w:rsidRPr="002B64A6" w:rsidSect="0043243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1505" w14:textId="77777777" w:rsidR="00AF3E8E" w:rsidRPr="00FD5808" w:rsidRDefault="00AF3E8E" w:rsidP="003E290B">
      <w:pPr>
        <w:spacing w:after="0" w:line="240" w:lineRule="auto"/>
      </w:pPr>
      <w:r w:rsidRPr="00FD5808">
        <w:separator/>
      </w:r>
    </w:p>
  </w:endnote>
  <w:endnote w:type="continuationSeparator" w:id="0">
    <w:p w14:paraId="275DB686" w14:textId="77777777" w:rsidR="00AF3E8E" w:rsidRPr="00FD5808" w:rsidRDefault="00AF3E8E" w:rsidP="003E290B">
      <w:pPr>
        <w:spacing w:after="0" w:line="240" w:lineRule="auto"/>
      </w:pPr>
      <w:r w:rsidRPr="00FD5808">
        <w:continuationSeparator/>
      </w:r>
    </w:p>
  </w:endnote>
  <w:endnote w:type="continuationNotice" w:id="1">
    <w:p w14:paraId="3A5787C2" w14:textId="77777777" w:rsidR="00AF3E8E" w:rsidRPr="00FD5808" w:rsidRDefault="00AF3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0021" w14:textId="77777777" w:rsidR="00DB0712" w:rsidRDefault="00DB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F037A" w14:textId="7D9BB304" w:rsidR="00E61BD5" w:rsidRPr="00FD5808" w:rsidRDefault="00E61BD5" w:rsidP="00F276C0">
    <w:pPr>
      <w:pStyle w:val="Footer"/>
      <w:jc w:val="center"/>
    </w:pPr>
    <w:r w:rsidRPr="00FD5808">
      <w:fldChar w:fldCharType="begin"/>
    </w:r>
    <w:r w:rsidRPr="00FD5808">
      <w:instrText xml:space="preserve"> PAGE   \* MERGEFORMAT </w:instrText>
    </w:r>
    <w:r w:rsidRPr="00FD5808">
      <w:fldChar w:fldCharType="separate"/>
    </w:r>
    <w:r w:rsidR="000B1D9C">
      <w:rPr>
        <w:noProof/>
      </w:rPr>
      <w:t>1</w:t>
    </w:r>
    <w:r w:rsidRPr="00FD5808">
      <w:fldChar w:fldCharType="end"/>
    </w:r>
  </w:p>
  <w:p w14:paraId="4326198F" w14:textId="77777777" w:rsidR="00E61BD5" w:rsidRPr="00FD5808" w:rsidRDefault="00E61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09B65" w14:textId="77777777" w:rsidR="00DB0712" w:rsidRDefault="00DB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6ED3" w14:textId="77777777" w:rsidR="00AF3E8E" w:rsidRPr="00FD5808" w:rsidRDefault="00AF3E8E" w:rsidP="003E290B">
      <w:pPr>
        <w:spacing w:after="0" w:line="240" w:lineRule="auto"/>
      </w:pPr>
      <w:r w:rsidRPr="00FD5808">
        <w:separator/>
      </w:r>
    </w:p>
  </w:footnote>
  <w:footnote w:type="continuationSeparator" w:id="0">
    <w:p w14:paraId="2686CFE6" w14:textId="77777777" w:rsidR="00AF3E8E" w:rsidRPr="00FD5808" w:rsidRDefault="00AF3E8E" w:rsidP="003E290B">
      <w:pPr>
        <w:spacing w:after="0" w:line="240" w:lineRule="auto"/>
      </w:pPr>
      <w:r w:rsidRPr="00FD5808">
        <w:continuationSeparator/>
      </w:r>
    </w:p>
  </w:footnote>
  <w:footnote w:type="continuationNotice" w:id="1">
    <w:p w14:paraId="344F3E4B" w14:textId="77777777" w:rsidR="00AF3E8E" w:rsidRPr="00FD5808" w:rsidRDefault="00AF3E8E">
      <w:pPr>
        <w:spacing w:after="0" w:line="240" w:lineRule="auto"/>
      </w:pPr>
    </w:p>
  </w:footnote>
  <w:footnote w:id="2">
    <w:p w14:paraId="1ABBBF3F" w14:textId="721C9645" w:rsidR="00E61BD5" w:rsidRPr="00782471" w:rsidRDefault="00E61BD5">
      <w:pPr>
        <w:pStyle w:val="FootnoteText"/>
        <w:rPr>
          <w:rFonts w:ascii="Times New Roman" w:hAnsi="Times New Roman" w:cs="Times New Roman"/>
        </w:rPr>
      </w:pPr>
      <w:r w:rsidRPr="00FD5808">
        <w:rPr>
          <w:rStyle w:val="FootnoteReference"/>
        </w:rPr>
        <w:footnoteRef/>
      </w:r>
      <w:r w:rsidRPr="00FD5808">
        <w:t xml:space="preserve"> </w:t>
      </w:r>
      <w:r w:rsidRPr="00FD5808">
        <w:rPr>
          <w:rFonts w:ascii="Times New Roman" w:hAnsi="Times New Roman" w:cs="Times New Roman"/>
        </w:rPr>
        <w:t xml:space="preserve">Corresponding Author: </w:t>
      </w:r>
      <w:r w:rsidR="00052185" w:rsidRPr="00FD5808">
        <w:rPr>
          <w:rFonts w:ascii="Times New Roman" w:hAnsi="Times New Roman" w:cs="Times New Roman"/>
        </w:rPr>
        <w:t>Danini Yajaira Marin</w:t>
      </w:r>
      <w:r w:rsidRPr="00FD5808">
        <w:rPr>
          <w:rFonts w:ascii="Times New Roman" w:hAnsi="Times New Roman" w:cs="Times New Roman"/>
        </w:rPr>
        <w:t xml:space="preserve">. Email: </w:t>
      </w:r>
      <w:r w:rsidR="00052185" w:rsidRPr="00FD5808">
        <w:rPr>
          <w:rFonts w:ascii="Times New Roman" w:hAnsi="Times New Roman" w:cs="Times New Roman"/>
        </w:rPr>
        <w:t>dmarin@gemconsultingbz.com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E25A" w14:textId="7A8299A2" w:rsidR="00DB0712" w:rsidRDefault="00DB0712">
    <w:pPr>
      <w:pStyle w:val="Header"/>
    </w:pPr>
    <w:r>
      <w:rPr>
        <w:noProof/>
      </w:rPr>
      <w:pict w14:anchorId="140AB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91735"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39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664"/>
      <w:gridCol w:w="2734"/>
    </w:tblGrid>
    <w:tr w:rsidR="00E61BD5" w:rsidRPr="00FD5808" w14:paraId="39ED650F" w14:textId="77777777" w:rsidTr="002819CE">
      <w:trPr>
        <w:trHeight w:val="351"/>
        <w:jc w:val="center"/>
      </w:trPr>
      <w:tc>
        <w:tcPr>
          <w:tcW w:w="2700" w:type="dxa"/>
        </w:tcPr>
        <w:p w14:paraId="1E6EDCB6" w14:textId="1090FA35" w:rsidR="00E61BD5" w:rsidRPr="00FD5808" w:rsidRDefault="00E61BD5" w:rsidP="00B70796">
          <w:pPr>
            <w:pStyle w:val="Header"/>
            <w:rPr>
              <w:rFonts w:ascii="Times New Roman" w:hAnsi="Times New Roman"/>
              <w:i/>
              <w:sz w:val="20"/>
            </w:rPr>
          </w:pPr>
          <w:r w:rsidRPr="00FD5808">
            <w:rPr>
              <w:rFonts w:ascii="Times New Roman" w:hAnsi="Times New Roman"/>
              <w:i/>
              <w:sz w:val="20"/>
            </w:rPr>
            <w:t xml:space="preserve">DOI: </w:t>
          </w:r>
          <w:hyperlink r:id="rId1" w:history="1">
            <w:r w:rsidRPr="00FD5808">
              <w:rPr>
                <w:rStyle w:val="Hyperlink"/>
                <w:rFonts w:ascii="Times New Roman" w:hAnsi="Times New Roman"/>
                <w:i/>
                <w:sz w:val="20"/>
              </w:rPr>
              <w:t>TBD</w:t>
            </w:r>
          </w:hyperlink>
        </w:p>
      </w:tc>
      <w:tc>
        <w:tcPr>
          <w:tcW w:w="4664" w:type="dxa"/>
        </w:tcPr>
        <w:p w14:paraId="1E15FFBF" w14:textId="77777777" w:rsidR="00E61BD5" w:rsidRPr="00FD5808" w:rsidRDefault="00E61BD5" w:rsidP="00F276C0">
          <w:pPr>
            <w:pStyle w:val="Header"/>
            <w:jc w:val="center"/>
            <w:rPr>
              <w:rFonts w:ascii="Times New Roman" w:hAnsi="Times New Roman"/>
              <w:b/>
              <w:sz w:val="20"/>
            </w:rPr>
          </w:pPr>
          <w:r w:rsidRPr="00FD5808">
            <w:rPr>
              <w:rFonts w:ascii="Times New Roman" w:hAnsi="Times New Roman"/>
              <w:b/>
              <w:sz w:val="20"/>
            </w:rPr>
            <w:t>Journal of Regulatory Science</w:t>
          </w:r>
          <w:r w:rsidRPr="00FD5808">
            <w:rPr>
              <w:rFonts w:ascii="Times New Roman" w:hAnsi="Times New Roman"/>
              <w:b/>
              <w:sz w:val="20"/>
            </w:rPr>
            <w:br/>
            <w:t>htttp://journalofregulatoryscience.org</w:t>
          </w:r>
        </w:p>
      </w:tc>
      <w:tc>
        <w:tcPr>
          <w:tcW w:w="2734" w:type="dxa"/>
        </w:tcPr>
        <w:p w14:paraId="4D00FCC1" w14:textId="28117C81" w:rsidR="00E61BD5" w:rsidRPr="00FD5808" w:rsidRDefault="00E61BD5" w:rsidP="00B70796">
          <w:pPr>
            <w:pStyle w:val="Header"/>
            <w:jc w:val="right"/>
            <w:rPr>
              <w:rFonts w:ascii="Times New Roman" w:hAnsi="Times New Roman"/>
              <w:i/>
              <w:sz w:val="20"/>
            </w:rPr>
          </w:pPr>
          <w:r w:rsidRPr="00FD5808">
            <w:rPr>
              <w:rFonts w:ascii="Times New Roman" w:hAnsi="Times New Roman"/>
              <w:i/>
              <w:sz w:val="20"/>
            </w:rPr>
            <w:t xml:space="preserve">JRS (2024) Volume </w:t>
          </w:r>
          <w:r w:rsidR="00C533D7" w:rsidRPr="00FD5808">
            <w:rPr>
              <w:rFonts w:ascii="Times New Roman" w:hAnsi="Times New Roman"/>
              <w:i/>
              <w:sz w:val="20"/>
            </w:rPr>
            <w:t>12: Issue 1 Marin</w:t>
          </w:r>
        </w:p>
      </w:tc>
    </w:tr>
  </w:tbl>
  <w:p w14:paraId="6975F974" w14:textId="69D8454B" w:rsidR="00E61BD5" w:rsidRPr="00FD5808" w:rsidRDefault="00DB0712" w:rsidP="00F276C0">
    <w:pPr>
      <w:pStyle w:val="Header"/>
    </w:pPr>
    <w:r>
      <w:rPr>
        <w:noProof/>
      </w:rPr>
      <w:pict w14:anchorId="2743A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91736"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C4B2" w14:textId="03173AE8" w:rsidR="00DB0712" w:rsidRDefault="00DB0712">
    <w:pPr>
      <w:pStyle w:val="Header"/>
    </w:pPr>
    <w:r>
      <w:rPr>
        <w:noProof/>
      </w:rPr>
      <w:pict w14:anchorId="193AE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29173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9AB"/>
    <w:multiLevelType w:val="hybridMultilevel"/>
    <w:tmpl w:val="1AF48150"/>
    <w:lvl w:ilvl="0" w:tplc="B038C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55906"/>
    <w:multiLevelType w:val="hybridMultilevel"/>
    <w:tmpl w:val="55B0A2A8"/>
    <w:lvl w:ilvl="0" w:tplc="0700C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748DC"/>
    <w:multiLevelType w:val="hybridMultilevel"/>
    <w:tmpl w:val="525C1460"/>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17D630C7"/>
    <w:multiLevelType w:val="hybridMultilevel"/>
    <w:tmpl w:val="EC8C35FC"/>
    <w:lvl w:ilvl="0" w:tplc="72349A2A">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002B1"/>
    <w:multiLevelType w:val="hybridMultilevel"/>
    <w:tmpl w:val="F716C3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219CB"/>
    <w:multiLevelType w:val="hybridMultilevel"/>
    <w:tmpl w:val="4BEAC88E"/>
    <w:lvl w:ilvl="0" w:tplc="2809000F">
      <w:start w:val="1"/>
      <w:numFmt w:val="decimal"/>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6" w15:restartNumberingAfterBreak="0">
    <w:nsid w:val="1ADA4D45"/>
    <w:multiLevelType w:val="hybridMultilevel"/>
    <w:tmpl w:val="5388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7CB"/>
    <w:multiLevelType w:val="hybridMultilevel"/>
    <w:tmpl w:val="2B2CAF7C"/>
    <w:lvl w:ilvl="0" w:tplc="619E7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94922"/>
    <w:multiLevelType w:val="hybridMultilevel"/>
    <w:tmpl w:val="5A7A5A5A"/>
    <w:lvl w:ilvl="0" w:tplc="C090F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F433B"/>
    <w:multiLevelType w:val="hybridMultilevel"/>
    <w:tmpl w:val="E0B287F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3468B"/>
    <w:multiLevelType w:val="hybridMultilevel"/>
    <w:tmpl w:val="727E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5102F"/>
    <w:multiLevelType w:val="hybridMultilevel"/>
    <w:tmpl w:val="3F727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C74FA"/>
    <w:multiLevelType w:val="hybridMultilevel"/>
    <w:tmpl w:val="5388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E5C8B"/>
    <w:multiLevelType w:val="hybridMultilevel"/>
    <w:tmpl w:val="6DBEA6D6"/>
    <w:lvl w:ilvl="0" w:tplc="BCDCB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6485E"/>
    <w:multiLevelType w:val="hybridMultilevel"/>
    <w:tmpl w:val="0FE41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E62DCF"/>
    <w:multiLevelType w:val="hybridMultilevel"/>
    <w:tmpl w:val="36805732"/>
    <w:lvl w:ilvl="0" w:tplc="2809000F">
      <w:start w:val="1"/>
      <w:numFmt w:val="decimal"/>
      <w:lvlText w:val="%1."/>
      <w:lvlJc w:val="left"/>
      <w:pPr>
        <w:ind w:left="360" w:hanging="360"/>
      </w:pPr>
    </w:lvl>
    <w:lvl w:ilvl="1" w:tplc="28090019" w:tentative="1">
      <w:start w:val="1"/>
      <w:numFmt w:val="lowerLetter"/>
      <w:lvlText w:val="%2."/>
      <w:lvlJc w:val="left"/>
      <w:pPr>
        <w:ind w:left="1080" w:hanging="360"/>
      </w:pPr>
    </w:lvl>
    <w:lvl w:ilvl="2" w:tplc="2809001B" w:tentative="1">
      <w:start w:val="1"/>
      <w:numFmt w:val="lowerRoman"/>
      <w:lvlText w:val="%3."/>
      <w:lvlJc w:val="right"/>
      <w:pPr>
        <w:ind w:left="1800" w:hanging="180"/>
      </w:pPr>
    </w:lvl>
    <w:lvl w:ilvl="3" w:tplc="2809000F" w:tentative="1">
      <w:start w:val="1"/>
      <w:numFmt w:val="decimal"/>
      <w:lvlText w:val="%4."/>
      <w:lvlJc w:val="left"/>
      <w:pPr>
        <w:ind w:left="2520" w:hanging="360"/>
      </w:pPr>
    </w:lvl>
    <w:lvl w:ilvl="4" w:tplc="28090019" w:tentative="1">
      <w:start w:val="1"/>
      <w:numFmt w:val="lowerLetter"/>
      <w:lvlText w:val="%5."/>
      <w:lvlJc w:val="left"/>
      <w:pPr>
        <w:ind w:left="3240" w:hanging="360"/>
      </w:pPr>
    </w:lvl>
    <w:lvl w:ilvl="5" w:tplc="2809001B" w:tentative="1">
      <w:start w:val="1"/>
      <w:numFmt w:val="lowerRoman"/>
      <w:lvlText w:val="%6."/>
      <w:lvlJc w:val="right"/>
      <w:pPr>
        <w:ind w:left="3960" w:hanging="180"/>
      </w:pPr>
    </w:lvl>
    <w:lvl w:ilvl="6" w:tplc="2809000F" w:tentative="1">
      <w:start w:val="1"/>
      <w:numFmt w:val="decimal"/>
      <w:lvlText w:val="%7."/>
      <w:lvlJc w:val="left"/>
      <w:pPr>
        <w:ind w:left="4680" w:hanging="360"/>
      </w:pPr>
    </w:lvl>
    <w:lvl w:ilvl="7" w:tplc="28090019" w:tentative="1">
      <w:start w:val="1"/>
      <w:numFmt w:val="lowerLetter"/>
      <w:lvlText w:val="%8."/>
      <w:lvlJc w:val="left"/>
      <w:pPr>
        <w:ind w:left="5400" w:hanging="360"/>
      </w:pPr>
    </w:lvl>
    <w:lvl w:ilvl="8" w:tplc="2809001B" w:tentative="1">
      <w:start w:val="1"/>
      <w:numFmt w:val="lowerRoman"/>
      <w:lvlText w:val="%9."/>
      <w:lvlJc w:val="right"/>
      <w:pPr>
        <w:ind w:left="6120" w:hanging="180"/>
      </w:pPr>
    </w:lvl>
  </w:abstractNum>
  <w:abstractNum w:abstractNumId="16" w15:restartNumberingAfterBreak="0">
    <w:nsid w:val="4EF12B4A"/>
    <w:multiLevelType w:val="hybridMultilevel"/>
    <w:tmpl w:val="D826E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EF1795"/>
    <w:multiLevelType w:val="hybridMultilevel"/>
    <w:tmpl w:val="ED38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487486"/>
    <w:multiLevelType w:val="hybridMultilevel"/>
    <w:tmpl w:val="E096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C779D"/>
    <w:multiLevelType w:val="hybridMultilevel"/>
    <w:tmpl w:val="E0B28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67B73"/>
    <w:multiLevelType w:val="multilevel"/>
    <w:tmpl w:val="6B86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850538"/>
    <w:multiLevelType w:val="multilevel"/>
    <w:tmpl w:val="D408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808AD"/>
    <w:multiLevelType w:val="hybridMultilevel"/>
    <w:tmpl w:val="5388D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2"/>
  </w:num>
  <w:num w:numId="4">
    <w:abstractNumId w:val="8"/>
  </w:num>
  <w:num w:numId="5">
    <w:abstractNumId w:val="16"/>
  </w:num>
  <w:num w:numId="6">
    <w:abstractNumId w:val="18"/>
  </w:num>
  <w:num w:numId="7">
    <w:abstractNumId w:val="22"/>
  </w:num>
  <w:num w:numId="8">
    <w:abstractNumId w:val="6"/>
  </w:num>
  <w:num w:numId="9">
    <w:abstractNumId w:val="9"/>
  </w:num>
  <w:num w:numId="10">
    <w:abstractNumId w:val="19"/>
  </w:num>
  <w:num w:numId="11">
    <w:abstractNumId w:val="21"/>
  </w:num>
  <w:num w:numId="12">
    <w:abstractNumId w:val="20"/>
  </w:num>
  <w:num w:numId="13">
    <w:abstractNumId w:val="3"/>
  </w:num>
  <w:num w:numId="14">
    <w:abstractNumId w:val="15"/>
  </w:num>
  <w:num w:numId="15">
    <w:abstractNumId w:val="4"/>
  </w:num>
  <w:num w:numId="16">
    <w:abstractNumId w:val="0"/>
  </w:num>
  <w:num w:numId="17">
    <w:abstractNumId w:val="7"/>
  </w:num>
  <w:num w:numId="18">
    <w:abstractNumId w:val="13"/>
  </w:num>
  <w:num w:numId="19">
    <w:abstractNumId w:val="14"/>
  </w:num>
  <w:num w:numId="20">
    <w:abstractNumId w:val="2"/>
  </w:num>
  <w:num w:numId="21">
    <w:abstractNumId w:val="5"/>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2sDQ0NDY3MDMytTBX0lEKTi0uzszPAykwrgUAxWVMaSwAAAA="/>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0rtxfx2xppvxredsfppttarz59psxszza02&quot;&gt;ORF130 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8&lt;/item&gt;&lt;item&gt;19&lt;/item&gt;&lt;item&gt;20&lt;/item&gt;&lt;item&gt;21&lt;/item&gt;&lt;item&gt;24&lt;/item&gt;&lt;item&gt;25&lt;/item&gt;&lt;item&gt;29&lt;/item&gt;&lt;item&gt;30&lt;/item&gt;&lt;item&gt;31&lt;/item&gt;&lt;item&gt;34&lt;/item&gt;&lt;item&gt;39&lt;/item&gt;&lt;item&gt;40&lt;/item&gt;&lt;item&gt;44&lt;/item&gt;&lt;item&gt;45&lt;/item&gt;&lt;item&gt;46&lt;/item&gt;&lt;item&gt;48&lt;/item&gt;&lt;item&gt;53&lt;/item&gt;&lt;item&gt;54&lt;/item&gt;&lt;item&gt;55&lt;/item&gt;&lt;item&gt;57&lt;/item&gt;&lt;item&gt;58&lt;/item&gt;&lt;item&gt;59&lt;/item&gt;&lt;item&gt;60&lt;/item&gt;&lt;item&gt;61&lt;/item&gt;&lt;/record-ids&gt;&lt;/item&gt;&lt;/Libraries&gt;"/>
  </w:docVars>
  <w:rsids>
    <w:rsidRoot w:val="00916387"/>
    <w:rsid w:val="00000E1D"/>
    <w:rsid w:val="00001CD8"/>
    <w:rsid w:val="0000288A"/>
    <w:rsid w:val="00002E8B"/>
    <w:rsid w:val="00005391"/>
    <w:rsid w:val="000059EE"/>
    <w:rsid w:val="00005B4E"/>
    <w:rsid w:val="00006FD6"/>
    <w:rsid w:val="000079E0"/>
    <w:rsid w:val="000115C7"/>
    <w:rsid w:val="000127DB"/>
    <w:rsid w:val="00014AE6"/>
    <w:rsid w:val="00015D3B"/>
    <w:rsid w:val="00016172"/>
    <w:rsid w:val="00016712"/>
    <w:rsid w:val="000178FB"/>
    <w:rsid w:val="00020D1A"/>
    <w:rsid w:val="0002230E"/>
    <w:rsid w:val="000230D3"/>
    <w:rsid w:val="000239D6"/>
    <w:rsid w:val="00023C34"/>
    <w:rsid w:val="00024B72"/>
    <w:rsid w:val="00027C56"/>
    <w:rsid w:val="00031B8A"/>
    <w:rsid w:val="00032C63"/>
    <w:rsid w:val="00032F57"/>
    <w:rsid w:val="000344C5"/>
    <w:rsid w:val="0003497C"/>
    <w:rsid w:val="000350C3"/>
    <w:rsid w:val="000352C5"/>
    <w:rsid w:val="00040445"/>
    <w:rsid w:val="00040653"/>
    <w:rsid w:val="00041092"/>
    <w:rsid w:val="0004133E"/>
    <w:rsid w:val="000423A3"/>
    <w:rsid w:val="0004320E"/>
    <w:rsid w:val="00044D1A"/>
    <w:rsid w:val="00046142"/>
    <w:rsid w:val="000464F4"/>
    <w:rsid w:val="000470D1"/>
    <w:rsid w:val="00050C98"/>
    <w:rsid w:val="0005177B"/>
    <w:rsid w:val="00052185"/>
    <w:rsid w:val="00052EB9"/>
    <w:rsid w:val="00052FE8"/>
    <w:rsid w:val="00054B13"/>
    <w:rsid w:val="00054E3A"/>
    <w:rsid w:val="00055A6D"/>
    <w:rsid w:val="0005633F"/>
    <w:rsid w:val="00060DF7"/>
    <w:rsid w:val="000615B5"/>
    <w:rsid w:val="000620E5"/>
    <w:rsid w:val="000621DA"/>
    <w:rsid w:val="000656F0"/>
    <w:rsid w:val="0006581B"/>
    <w:rsid w:val="00065BA6"/>
    <w:rsid w:val="00066681"/>
    <w:rsid w:val="00067338"/>
    <w:rsid w:val="000702D7"/>
    <w:rsid w:val="00072611"/>
    <w:rsid w:val="00074350"/>
    <w:rsid w:val="00075AD8"/>
    <w:rsid w:val="0007686B"/>
    <w:rsid w:val="000774D6"/>
    <w:rsid w:val="00077C8A"/>
    <w:rsid w:val="000828BE"/>
    <w:rsid w:val="00082B04"/>
    <w:rsid w:val="00084817"/>
    <w:rsid w:val="00086710"/>
    <w:rsid w:val="00086C38"/>
    <w:rsid w:val="00090869"/>
    <w:rsid w:val="000912D4"/>
    <w:rsid w:val="000927FF"/>
    <w:rsid w:val="00094FF0"/>
    <w:rsid w:val="00096090"/>
    <w:rsid w:val="00096F78"/>
    <w:rsid w:val="00097145"/>
    <w:rsid w:val="00097651"/>
    <w:rsid w:val="00097BA2"/>
    <w:rsid w:val="000A0674"/>
    <w:rsid w:val="000A17BC"/>
    <w:rsid w:val="000A20F6"/>
    <w:rsid w:val="000A23CF"/>
    <w:rsid w:val="000A31EF"/>
    <w:rsid w:val="000A50B8"/>
    <w:rsid w:val="000A5B3C"/>
    <w:rsid w:val="000A68B9"/>
    <w:rsid w:val="000A76ED"/>
    <w:rsid w:val="000B067D"/>
    <w:rsid w:val="000B1A3B"/>
    <w:rsid w:val="000B1D9C"/>
    <w:rsid w:val="000B27C3"/>
    <w:rsid w:val="000B2B75"/>
    <w:rsid w:val="000B4983"/>
    <w:rsid w:val="000B5790"/>
    <w:rsid w:val="000B608B"/>
    <w:rsid w:val="000B6D14"/>
    <w:rsid w:val="000B6DD1"/>
    <w:rsid w:val="000B7158"/>
    <w:rsid w:val="000C119D"/>
    <w:rsid w:val="000C1739"/>
    <w:rsid w:val="000C2912"/>
    <w:rsid w:val="000C44EA"/>
    <w:rsid w:val="000C4B21"/>
    <w:rsid w:val="000C50A6"/>
    <w:rsid w:val="000C5474"/>
    <w:rsid w:val="000C6439"/>
    <w:rsid w:val="000D229D"/>
    <w:rsid w:val="000E1A85"/>
    <w:rsid w:val="000E2301"/>
    <w:rsid w:val="000E24F7"/>
    <w:rsid w:val="000E39EB"/>
    <w:rsid w:val="000E7CB2"/>
    <w:rsid w:val="000F03C2"/>
    <w:rsid w:val="000F3EB4"/>
    <w:rsid w:val="000F47EB"/>
    <w:rsid w:val="000F490E"/>
    <w:rsid w:val="000F6384"/>
    <w:rsid w:val="000F65BD"/>
    <w:rsid w:val="000F73CC"/>
    <w:rsid w:val="000F7EE8"/>
    <w:rsid w:val="00101C4B"/>
    <w:rsid w:val="00102713"/>
    <w:rsid w:val="00102C04"/>
    <w:rsid w:val="001071A2"/>
    <w:rsid w:val="001073CE"/>
    <w:rsid w:val="001122E4"/>
    <w:rsid w:val="00113BCE"/>
    <w:rsid w:val="00115D93"/>
    <w:rsid w:val="00117349"/>
    <w:rsid w:val="0012559E"/>
    <w:rsid w:val="00125E7B"/>
    <w:rsid w:val="00127A81"/>
    <w:rsid w:val="00131B19"/>
    <w:rsid w:val="00132FB9"/>
    <w:rsid w:val="001331CB"/>
    <w:rsid w:val="00133BC2"/>
    <w:rsid w:val="001353FB"/>
    <w:rsid w:val="00135A8C"/>
    <w:rsid w:val="00135AC0"/>
    <w:rsid w:val="00135D2F"/>
    <w:rsid w:val="00137656"/>
    <w:rsid w:val="00140A4C"/>
    <w:rsid w:val="001412E1"/>
    <w:rsid w:val="0014291B"/>
    <w:rsid w:val="001430AE"/>
    <w:rsid w:val="00143DCA"/>
    <w:rsid w:val="00144267"/>
    <w:rsid w:val="0014678E"/>
    <w:rsid w:val="00147A41"/>
    <w:rsid w:val="00147BFC"/>
    <w:rsid w:val="001508B9"/>
    <w:rsid w:val="00150ED5"/>
    <w:rsid w:val="00151043"/>
    <w:rsid w:val="00152A72"/>
    <w:rsid w:val="00152DCB"/>
    <w:rsid w:val="00154142"/>
    <w:rsid w:val="001600A7"/>
    <w:rsid w:val="00165AF9"/>
    <w:rsid w:val="00166ECB"/>
    <w:rsid w:val="00170307"/>
    <w:rsid w:val="00175526"/>
    <w:rsid w:val="001759E6"/>
    <w:rsid w:val="00181078"/>
    <w:rsid w:val="001827F6"/>
    <w:rsid w:val="00182D7B"/>
    <w:rsid w:val="00184508"/>
    <w:rsid w:val="00184B50"/>
    <w:rsid w:val="00185E89"/>
    <w:rsid w:val="00193ED3"/>
    <w:rsid w:val="00194177"/>
    <w:rsid w:val="0019452D"/>
    <w:rsid w:val="00196D35"/>
    <w:rsid w:val="001A0B00"/>
    <w:rsid w:val="001A0C4A"/>
    <w:rsid w:val="001A3370"/>
    <w:rsid w:val="001A3E4F"/>
    <w:rsid w:val="001A3F1F"/>
    <w:rsid w:val="001A536F"/>
    <w:rsid w:val="001A6DE5"/>
    <w:rsid w:val="001A6EA3"/>
    <w:rsid w:val="001A79BF"/>
    <w:rsid w:val="001A7F5D"/>
    <w:rsid w:val="001B37E3"/>
    <w:rsid w:val="001B6F80"/>
    <w:rsid w:val="001C00D2"/>
    <w:rsid w:val="001C0353"/>
    <w:rsid w:val="001C0575"/>
    <w:rsid w:val="001C1140"/>
    <w:rsid w:val="001C2399"/>
    <w:rsid w:val="001C4890"/>
    <w:rsid w:val="001C62B6"/>
    <w:rsid w:val="001C6E8D"/>
    <w:rsid w:val="001D07B8"/>
    <w:rsid w:val="001D1BF0"/>
    <w:rsid w:val="001D2733"/>
    <w:rsid w:val="001D2E79"/>
    <w:rsid w:val="001D3481"/>
    <w:rsid w:val="001D3846"/>
    <w:rsid w:val="001D3D9E"/>
    <w:rsid w:val="001D50D2"/>
    <w:rsid w:val="001E08A9"/>
    <w:rsid w:val="001E0E52"/>
    <w:rsid w:val="001E35FC"/>
    <w:rsid w:val="001F09D6"/>
    <w:rsid w:val="001F0F76"/>
    <w:rsid w:val="001F275C"/>
    <w:rsid w:val="001F30C1"/>
    <w:rsid w:val="001F4323"/>
    <w:rsid w:val="001F6281"/>
    <w:rsid w:val="001F7C36"/>
    <w:rsid w:val="001F7D87"/>
    <w:rsid w:val="00200055"/>
    <w:rsid w:val="0020077A"/>
    <w:rsid w:val="00200FA6"/>
    <w:rsid w:val="00202471"/>
    <w:rsid w:val="0020298E"/>
    <w:rsid w:val="00202C9A"/>
    <w:rsid w:val="00202E69"/>
    <w:rsid w:val="00203950"/>
    <w:rsid w:val="00203F02"/>
    <w:rsid w:val="0020496E"/>
    <w:rsid w:val="00204BB7"/>
    <w:rsid w:val="00206327"/>
    <w:rsid w:val="00211475"/>
    <w:rsid w:val="002116AC"/>
    <w:rsid w:val="00211D08"/>
    <w:rsid w:val="00212503"/>
    <w:rsid w:val="00212744"/>
    <w:rsid w:val="00213487"/>
    <w:rsid w:val="00213D4C"/>
    <w:rsid w:val="00216260"/>
    <w:rsid w:val="00216B6C"/>
    <w:rsid w:val="00217EBF"/>
    <w:rsid w:val="00222DAB"/>
    <w:rsid w:val="0022411C"/>
    <w:rsid w:val="002245B3"/>
    <w:rsid w:val="00225611"/>
    <w:rsid w:val="00227FFA"/>
    <w:rsid w:val="002322DA"/>
    <w:rsid w:val="00232DBC"/>
    <w:rsid w:val="0023415E"/>
    <w:rsid w:val="00234985"/>
    <w:rsid w:val="00234C21"/>
    <w:rsid w:val="00235366"/>
    <w:rsid w:val="00236BED"/>
    <w:rsid w:val="00237E12"/>
    <w:rsid w:val="00245242"/>
    <w:rsid w:val="00245395"/>
    <w:rsid w:val="00245B70"/>
    <w:rsid w:val="0024679B"/>
    <w:rsid w:val="00250F42"/>
    <w:rsid w:val="002536FA"/>
    <w:rsid w:val="00253BF2"/>
    <w:rsid w:val="00254BFD"/>
    <w:rsid w:val="0025649F"/>
    <w:rsid w:val="002574BE"/>
    <w:rsid w:val="00266363"/>
    <w:rsid w:val="002668B7"/>
    <w:rsid w:val="00267C96"/>
    <w:rsid w:val="00270F75"/>
    <w:rsid w:val="00272325"/>
    <w:rsid w:val="002725B6"/>
    <w:rsid w:val="00275103"/>
    <w:rsid w:val="0027635B"/>
    <w:rsid w:val="00277E47"/>
    <w:rsid w:val="00280345"/>
    <w:rsid w:val="002819CE"/>
    <w:rsid w:val="002827C6"/>
    <w:rsid w:val="00282AF2"/>
    <w:rsid w:val="00283B03"/>
    <w:rsid w:val="0028437B"/>
    <w:rsid w:val="00284656"/>
    <w:rsid w:val="00284DB4"/>
    <w:rsid w:val="00285ACB"/>
    <w:rsid w:val="00285AD3"/>
    <w:rsid w:val="002861D3"/>
    <w:rsid w:val="00286833"/>
    <w:rsid w:val="002877B2"/>
    <w:rsid w:val="002878D9"/>
    <w:rsid w:val="00287B6C"/>
    <w:rsid w:val="002907BA"/>
    <w:rsid w:val="002919FD"/>
    <w:rsid w:val="00291C68"/>
    <w:rsid w:val="0029219F"/>
    <w:rsid w:val="002924B3"/>
    <w:rsid w:val="002928C7"/>
    <w:rsid w:val="0029339C"/>
    <w:rsid w:val="00293440"/>
    <w:rsid w:val="00295CF2"/>
    <w:rsid w:val="00296E8F"/>
    <w:rsid w:val="002A1403"/>
    <w:rsid w:val="002A1D58"/>
    <w:rsid w:val="002A1EAE"/>
    <w:rsid w:val="002A2884"/>
    <w:rsid w:val="002A2ADE"/>
    <w:rsid w:val="002A644B"/>
    <w:rsid w:val="002B1B87"/>
    <w:rsid w:val="002B241A"/>
    <w:rsid w:val="002B27F4"/>
    <w:rsid w:val="002B45F6"/>
    <w:rsid w:val="002B64A6"/>
    <w:rsid w:val="002B7980"/>
    <w:rsid w:val="002C1612"/>
    <w:rsid w:val="002C266C"/>
    <w:rsid w:val="002C40B3"/>
    <w:rsid w:val="002C512D"/>
    <w:rsid w:val="002C57B0"/>
    <w:rsid w:val="002C5A23"/>
    <w:rsid w:val="002C6F20"/>
    <w:rsid w:val="002D0BC6"/>
    <w:rsid w:val="002D14CA"/>
    <w:rsid w:val="002D2F2C"/>
    <w:rsid w:val="002D3192"/>
    <w:rsid w:val="002D3223"/>
    <w:rsid w:val="002D4293"/>
    <w:rsid w:val="002D642F"/>
    <w:rsid w:val="002E0358"/>
    <w:rsid w:val="002E0D82"/>
    <w:rsid w:val="002E18F7"/>
    <w:rsid w:val="002E1DFA"/>
    <w:rsid w:val="002E3E12"/>
    <w:rsid w:val="002E507B"/>
    <w:rsid w:val="002E5811"/>
    <w:rsid w:val="002E5B4B"/>
    <w:rsid w:val="002E78DA"/>
    <w:rsid w:val="002E7B34"/>
    <w:rsid w:val="002F386C"/>
    <w:rsid w:val="002F3ACE"/>
    <w:rsid w:val="002F409F"/>
    <w:rsid w:val="002F4AA7"/>
    <w:rsid w:val="002F64CF"/>
    <w:rsid w:val="002F6E6E"/>
    <w:rsid w:val="002F70E8"/>
    <w:rsid w:val="003004E2"/>
    <w:rsid w:val="00301477"/>
    <w:rsid w:val="00301B6E"/>
    <w:rsid w:val="00302C50"/>
    <w:rsid w:val="00303464"/>
    <w:rsid w:val="00304164"/>
    <w:rsid w:val="003065FD"/>
    <w:rsid w:val="0031086A"/>
    <w:rsid w:val="00310D08"/>
    <w:rsid w:val="003112FC"/>
    <w:rsid w:val="00311558"/>
    <w:rsid w:val="003115F1"/>
    <w:rsid w:val="00312ED0"/>
    <w:rsid w:val="00316B74"/>
    <w:rsid w:val="00317EE4"/>
    <w:rsid w:val="003205CB"/>
    <w:rsid w:val="00321E4B"/>
    <w:rsid w:val="00322C89"/>
    <w:rsid w:val="003237D2"/>
    <w:rsid w:val="00324BD1"/>
    <w:rsid w:val="00327257"/>
    <w:rsid w:val="0032780F"/>
    <w:rsid w:val="0032799E"/>
    <w:rsid w:val="00330336"/>
    <w:rsid w:val="0033048A"/>
    <w:rsid w:val="003305AA"/>
    <w:rsid w:val="00331F88"/>
    <w:rsid w:val="003336F3"/>
    <w:rsid w:val="00333F3E"/>
    <w:rsid w:val="0033499D"/>
    <w:rsid w:val="003358E5"/>
    <w:rsid w:val="00335E4D"/>
    <w:rsid w:val="003367A7"/>
    <w:rsid w:val="00341AE2"/>
    <w:rsid w:val="003424D1"/>
    <w:rsid w:val="00342E1D"/>
    <w:rsid w:val="00343AF7"/>
    <w:rsid w:val="003447A0"/>
    <w:rsid w:val="00344EC7"/>
    <w:rsid w:val="00346E04"/>
    <w:rsid w:val="00347063"/>
    <w:rsid w:val="00350246"/>
    <w:rsid w:val="003503D2"/>
    <w:rsid w:val="003503E4"/>
    <w:rsid w:val="00351F72"/>
    <w:rsid w:val="00352E4B"/>
    <w:rsid w:val="0035427A"/>
    <w:rsid w:val="00354320"/>
    <w:rsid w:val="00356466"/>
    <w:rsid w:val="00356512"/>
    <w:rsid w:val="00356A68"/>
    <w:rsid w:val="0036015B"/>
    <w:rsid w:val="0036026A"/>
    <w:rsid w:val="00360EC5"/>
    <w:rsid w:val="003626F4"/>
    <w:rsid w:val="00363A81"/>
    <w:rsid w:val="0036413A"/>
    <w:rsid w:val="003641B9"/>
    <w:rsid w:val="0036436E"/>
    <w:rsid w:val="003674B3"/>
    <w:rsid w:val="0037001D"/>
    <w:rsid w:val="0037102D"/>
    <w:rsid w:val="00372828"/>
    <w:rsid w:val="00374AE9"/>
    <w:rsid w:val="003752EB"/>
    <w:rsid w:val="00375BF4"/>
    <w:rsid w:val="00376591"/>
    <w:rsid w:val="003806FD"/>
    <w:rsid w:val="00382043"/>
    <w:rsid w:val="003829E0"/>
    <w:rsid w:val="003842DB"/>
    <w:rsid w:val="0038434C"/>
    <w:rsid w:val="00390A54"/>
    <w:rsid w:val="00393730"/>
    <w:rsid w:val="00394435"/>
    <w:rsid w:val="00395230"/>
    <w:rsid w:val="00397E7D"/>
    <w:rsid w:val="003A1243"/>
    <w:rsid w:val="003A1D4C"/>
    <w:rsid w:val="003A2E31"/>
    <w:rsid w:val="003A468F"/>
    <w:rsid w:val="003A49DF"/>
    <w:rsid w:val="003A4C3C"/>
    <w:rsid w:val="003A701B"/>
    <w:rsid w:val="003A741F"/>
    <w:rsid w:val="003B0F0E"/>
    <w:rsid w:val="003B2A70"/>
    <w:rsid w:val="003B3A2D"/>
    <w:rsid w:val="003B6D45"/>
    <w:rsid w:val="003B75C2"/>
    <w:rsid w:val="003C0C0B"/>
    <w:rsid w:val="003C0FC9"/>
    <w:rsid w:val="003C3467"/>
    <w:rsid w:val="003C39DB"/>
    <w:rsid w:val="003C5AAB"/>
    <w:rsid w:val="003C7C33"/>
    <w:rsid w:val="003D1F0A"/>
    <w:rsid w:val="003D1F67"/>
    <w:rsid w:val="003D5ED7"/>
    <w:rsid w:val="003D6935"/>
    <w:rsid w:val="003E0826"/>
    <w:rsid w:val="003E0DBC"/>
    <w:rsid w:val="003E290B"/>
    <w:rsid w:val="003E6F5F"/>
    <w:rsid w:val="003E7337"/>
    <w:rsid w:val="003F082B"/>
    <w:rsid w:val="003F1201"/>
    <w:rsid w:val="003F31AD"/>
    <w:rsid w:val="003F37F7"/>
    <w:rsid w:val="003F4A95"/>
    <w:rsid w:val="003F5857"/>
    <w:rsid w:val="003F7C24"/>
    <w:rsid w:val="004006FE"/>
    <w:rsid w:val="004012B9"/>
    <w:rsid w:val="00401FEE"/>
    <w:rsid w:val="00402846"/>
    <w:rsid w:val="004035E0"/>
    <w:rsid w:val="004045DD"/>
    <w:rsid w:val="004052E9"/>
    <w:rsid w:val="0040575E"/>
    <w:rsid w:val="00407136"/>
    <w:rsid w:val="00410A59"/>
    <w:rsid w:val="00411446"/>
    <w:rsid w:val="00411F43"/>
    <w:rsid w:val="0041374F"/>
    <w:rsid w:val="00413DD2"/>
    <w:rsid w:val="00414578"/>
    <w:rsid w:val="00415C54"/>
    <w:rsid w:val="004175D8"/>
    <w:rsid w:val="004179E4"/>
    <w:rsid w:val="00421A32"/>
    <w:rsid w:val="004244DA"/>
    <w:rsid w:val="004246DA"/>
    <w:rsid w:val="004248D0"/>
    <w:rsid w:val="00424FF5"/>
    <w:rsid w:val="0042606E"/>
    <w:rsid w:val="00426C5C"/>
    <w:rsid w:val="0042761F"/>
    <w:rsid w:val="00427D39"/>
    <w:rsid w:val="00430D9D"/>
    <w:rsid w:val="00431270"/>
    <w:rsid w:val="004316AF"/>
    <w:rsid w:val="00431E29"/>
    <w:rsid w:val="00432439"/>
    <w:rsid w:val="00432B4B"/>
    <w:rsid w:val="0043375A"/>
    <w:rsid w:val="00435FDB"/>
    <w:rsid w:val="004367C6"/>
    <w:rsid w:val="00442964"/>
    <w:rsid w:val="00442AB6"/>
    <w:rsid w:val="00442D92"/>
    <w:rsid w:val="00443A48"/>
    <w:rsid w:val="004451E3"/>
    <w:rsid w:val="00445A6B"/>
    <w:rsid w:val="00446861"/>
    <w:rsid w:val="004473D7"/>
    <w:rsid w:val="004507BB"/>
    <w:rsid w:val="0045173B"/>
    <w:rsid w:val="00451BC2"/>
    <w:rsid w:val="00452621"/>
    <w:rsid w:val="004538CA"/>
    <w:rsid w:val="00454E59"/>
    <w:rsid w:val="00455821"/>
    <w:rsid w:val="00460D66"/>
    <w:rsid w:val="00460FEB"/>
    <w:rsid w:val="0046473A"/>
    <w:rsid w:val="00464AB8"/>
    <w:rsid w:val="00466869"/>
    <w:rsid w:val="00466E81"/>
    <w:rsid w:val="00467489"/>
    <w:rsid w:val="0047023A"/>
    <w:rsid w:val="004704A8"/>
    <w:rsid w:val="00471A4F"/>
    <w:rsid w:val="00471BBC"/>
    <w:rsid w:val="00471C15"/>
    <w:rsid w:val="004770B5"/>
    <w:rsid w:val="00480B20"/>
    <w:rsid w:val="0048345F"/>
    <w:rsid w:val="00484D8E"/>
    <w:rsid w:val="00485661"/>
    <w:rsid w:val="0048635A"/>
    <w:rsid w:val="00490E16"/>
    <w:rsid w:val="00491118"/>
    <w:rsid w:val="004943F5"/>
    <w:rsid w:val="00495846"/>
    <w:rsid w:val="004969AB"/>
    <w:rsid w:val="00496F20"/>
    <w:rsid w:val="00497D62"/>
    <w:rsid w:val="004A1EEB"/>
    <w:rsid w:val="004A1F6A"/>
    <w:rsid w:val="004A2113"/>
    <w:rsid w:val="004A2554"/>
    <w:rsid w:val="004A52E4"/>
    <w:rsid w:val="004A5B9E"/>
    <w:rsid w:val="004A698C"/>
    <w:rsid w:val="004A6A5F"/>
    <w:rsid w:val="004A6C0A"/>
    <w:rsid w:val="004B7508"/>
    <w:rsid w:val="004C0268"/>
    <w:rsid w:val="004C0562"/>
    <w:rsid w:val="004C3FD8"/>
    <w:rsid w:val="004C4424"/>
    <w:rsid w:val="004C46FF"/>
    <w:rsid w:val="004D0709"/>
    <w:rsid w:val="004D2A16"/>
    <w:rsid w:val="004D35EC"/>
    <w:rsid w:val="004D450D"/>
    <w:rsid w:val="004D5355"/>
    <w:rsid w:val="004D72A5"/>
    <w:rsid w:val="004D7727"/>
    <w:rsid w:val="004D7B5B"/>
    <w:rsid w:val="004E31AF"/>
    <w:rsid w:val="004E63C5"/>
    <w:rsid w:val="004F119D"/>
    <w:rsid w:val="004F3301"/>
    <w:rsid w:val="004F447A"/>
    <w:rsid w:val="004F521C"/>
    <w:rsid w:val="004F53E6"/>
    <w:rsid w:val="004F6153"/>
    <w:rsid w:val="004F63B6"/>
    <w:rsid w:val="004F6653"/>
    <w:rsid w:val="004F6E54"/>
    <w:rsid w:val="00500072"/>
    <w:rsid w:val="0050039B"/>
    <w:rsid w:val="005057BD"/>
    <w:rsid w:val="00507E82"/>
    <w:rsid w:val="00514E40"/>
    <w:rsid w:val="005153BF"/>
    <w:rsid w:val="0051773D"/>
    <w:rsid w:val="00520059"/>
    <w:rsid w:val="00520BB0"/>
    <w:rsid w:val="0052243C"/>
    <w:rsid w:val="00523666"/>
    <w:rsid w:val="00525C93"/>
    <w:rsid w:val="00526C52"/>
    <w:rsid w:val="00530045"/>
    <w:rsid w:val="00531BA0"/>
    <w:rsid w:val="00532F32"/>
    <w:rsid w:val="0053453F"/>
    <w:rsid w:val="00540F22"/>
    <w:rsid w:val="005432CD"/>
    <w:rsid w:val="00543E70"/>
    <w:rsid w:val="00544740"/>
    <w:rsid w:val="00545D3B"/>
    <w:rsid w:val="0054651D"/>
    <w:rsid w:val="005465D1"/>
    <w:rsid w:val="0054675B"/>
    <w:rsid w:val="005512B2"/>
    <w:rsid w:val="00551654"/>
    <w:rsid w:val="00553997"/>
    <w:rsid w:val="00555071"/>
    <w:rsid w:val="00555F8C"/>
    <w:rsid w:val="005564A7"/>
    <w:rsid w:val="005573D6"/>
    <w:rsid w:val="00557610"/>
    <w:rsid w:val="00560648"/>
    <w:rsid w:val="005622AF"/>
    <w:rsid w:val="00562C59"/>
    <w:rsid w:val="0056329C"/>
    <w:rsid w:val="00564102"/>
    <w:rsid w:val="00564CCD"/>
    <w:rsid w:val="005650EE"/>
    <w:rsid w:val="00567ACC"/>
    <w:rsid w:val="00581904"/>
    <w:rsid w:val="00584118"/>
    <w:rsid w:val="00585367"/>
    <w:rsid w:val="005865BD"/>
    <w:rsid w:val="0058678C"/>
    <w:rsid w:val="00590179"/>
    <w:rsid w:val="00590BA2"/>
    <w:rsid w:val="005921EE"/>
    <w:rsid w:val="005938FF"/>
    <w:rsid w:val="00593A1F"/>
    <w:rsid w:val="00594A68"/>
    <w:rsid w:val="00595DCB"/>
    <w:rsid w:val="005A024F"/>
    <w:rsid w:val="005A069F"/>
    <w:rsid w:val="005A11C2"/>
    <w:rsid w:val="005A1C8F"/>
    <w:rsid w:val="005A579E"/>
    <w:rsid w:val="005B02A9"/>
    <w:rsid w:val="005B248A"/>
    <w:rsid w:val="005B267C"/>
    <w:rsid w:val="005B6CCF"/>
    <w:rsid w:val="005C16A3"/>
    <w:rsid w:val="005C2465"/>
    <w:rsid w:val="005C2E09"/>
    <w:rsid w:val="005C7DA5"/>
    <w:rsid w:val="005C7E22"/>
    <w:rsid w:val="005D0DAD"/>
    <w:rsid w:val="005D1744"/>
    <w:rsid w:val="005D2320"/>
    <w:rsid w:val="005D63CF"/>
    <w:rsid w:val="005D65A3"/>
    <w:rsid w:val="005D707B"/>
    <w:rsid w:val="005E05A8"/>
    <w:rsid w:val="005E0E0A"/>
    <w:rsid w:val="005E2044"/>
    <w:rsid w:val="005E2655"/>
    <w:rsid w:val="005E5655"/>
    <w:rsid w:val="005E5B64"/>
    <w:rsid w:val="005E628C"/>
    <w:rsid w:val="005E6EA8"/>
    <w:rsid w:val="005E7087"/>
    <w:rsid w:val="005F1C57"/>
    <w:rsid w:val="005F2B81"/>
    <w:rsid w:val="005F6A36"/>
    <w:rsid w:val="005F7096"/>
    <w:rsid w:val="005F77A1"/>
    <w:rsid w:val="006000DC"/>
    <w:rsid w:val="006005FF"/>
    <w:rsid w:val="00600CBB"/>
    <w:rsid w:val="006013B2"/>
    <w:rsid w:val="0060388F"/>
    <w:rsid w:val="00604C42"/>
    <w:rsid w:val="00604CA5"/>
    <w:rsid w:val="00605066"/>
    <w:rsid w:val="0060517B"/>
    <w:rsid w:val="00606176"/>
    <w:rsid w:val="006065F6"/>
    <w:rsid w:val="00607460"/>
    <w:rsid w:val="00611430"/>
    <w:rsid w:val="00611D9D"/>
    <w:rsid w:val="00612737"/>
    <w:rsid w:val="00615054"/>
    <w:rsid w:val="00616197"/>
    <w:rsid w:val="00616386"/>
    <w:rsid w:val="0062011F"/>
    <w:rsid w:val="00620255"/>
    <w:rsid w:val="00620418"/>
    <w:rsid w:val="00621099"/>
    <w:rsid w:val="00621E36"/>
    <w:rsid w:val="0062275C"/>
    <w:rsid w:val="006243A8"/>
    <w:rsid w:val="00624900"/>
    <w:rsid w:val="00625A10"/>
    <w:rsid w:val="006260D6"/>
    <w:rsid w:val="006300A4"/>
    <w:rsid w:val="00631EE5"/>
    <w:rsid w:val="00632286"/>
    <w:rsid w:val="00632FE0"/>
    <w:rsid w:val="006332C4"/>
    <w:rsid w:val="006339E0"/>
    <w:rsid w:val="006342D8"/>
    <w:rsid w:val="006344FC"/>
    <w:rsid w:val="00637A83"/>
    <w:rsid w:val="006405D8"/>
    <w:rsid w:val="00640F0F"/>
    <w:rsid w:val="00643121"/>
    <w:rsid w:val="00643F5F"/>
    <w:rsid w:val="00646D46"/>
    <w:rsid w:val="00651F30"/>
    <w:rsid w:val="00652318"/>
    <w:rsid w:val="00653DE5"/>
    <w:rsid w:val="00654F97"/>
    <w:rsid w:val="00655B24"/>
    <w:rsid w:val="0065690F"/>
    <w:rsid w:val="006570D3"/>
    <w:rsid w:val="00657BF6"/>
    <w:rsid w:val="00660C93"/>
    <w:rsid w:val="00663C39"/>
    <w:rsid w:val="00664738"/>
    <w:rsid w:val="00664D61"/>
    <w:rsid w:val="00665317"/>
    <w:rsid w:val="006703ED"/>
    <w:rsid w:val="006715E6"/>
    <w:rsid w:val="00672844"/>
    <w:rsid w:val="0067313A"/>
    <w:rsid w:val="00673513"/>
    <w:rsid w:val="00674D87"/>
    <w:rsid w:val="006824DD"/>
    <w:rsid w:val="00686052"/>
    <w:rsid w:val="00686358"/>
    <w:rsid w:val="006871F4"/>
    <w:rsid w:val="00690B83"/>
    <w:rsid w:val="00693076"/>
    <w:rsid w:val="00693079"/>
    <w:rsid w:val="006945F3"/>
    <w:rsid w:val="006A05D8"/>
    <w:rsid w:val="006A0FD3"/>
    <w:rsid w:val="006A2700"/>
    <w:rsid w:val="006A6D13"/>
    <w:rsid w:val="006A6D2A"/>
    <w:rsid w:val="006B0643"/>
    <w:rsid w:val="006B22F1"/>
    <w:rsid w:val="006B26C3"/>
    <w:rsid w:val="006B2D3B"/>
    <w:rsid w:val="006B33CA"/>
    <w:rsid w:val="006B4218"/>
    <w:rsid w:val="006B4376"/>
    <w:rsid w:val="006B6200"/>
    <w:rsid w:val="006B6B06"/>
    <w:rsid w:val="006C04D4"/>
    <w:rsid w:val="006C10EC"/>
    <w:rsid w:val="006C14D7"/>
    <w:rsid w:val="006C482E"/>
    <w:rsid w:val="006C51DC"/>
    <w:rsid w:val="006C6EA8"/>
    <w:rsid w:val="006C6FF1"/>
    <w:rsid w:val="006D15EB"/>
    <w:rsid w:val="006D1979"/>
    <w:rsid w:val="006D5A71"/>
    <w:rsid w:val="006D684C"/>
    <w:rsid w:val="006D6A09"/>
    <w:rsid w:val="006D6AEB"/>
    <w:rsid w:val="006D72D3"/>
    <w:rsid w:val="006D77E3"/>
    <w:rsid w:val="006E03E4"/>
    <w:rsid w:val="006E237C"/>
    <w:rsid w:val="006E5A9F"/>
    <w:rsid w:val="006E7C4B"/>
    <w:rsid w:val="006F0A2E"/>
    <w:rsid w:val="006F0B73"/>
    <w:rsid w:val="006F28C1"/>
    <w:rsid w:val="006F3690"/>
    <w:rsid w:val="006F4D2E"/>
    <w:rsid w:val="006F6296"/>
    <w:rsid w:val="006F69CE"/>
    <w:rsid w:val="007006B6"/>
    <w:rsid w:val="00701DD9"/>
    <w:rsid w:val="00702694"/>
    <w:rsid w:val="00702B82"/>
    <w:rsid w:val="007034C6"/>
    <w:rsid w:val="00704D67"/>
    <w:rsid w:val="00706EF2"/>
    <w:rsid w:val="00712F9E"/>
    <w:rsid w:val="0071654E"/>
    <w:rsid w:val="00716742"/>
    <w:rsid w:val="00720D61"/>
    <w:rsid w:val="00724D8E"/>
    <w:rsid w:val="00724DE5"/>
    <w:rsid w:val="0072551E"/>
    <w:rsid w:val="00725DF0"/>
    <w:rsid w:val="00727352"/>
    <w:rsid w:val="007274AA"/>
    <w:rsid w:val="0073250B"/>
    <w:rsid w:val="007328A5"/>
    <w:rsid w:val="00732DED"/>
    <w:rsid w:val="0073371D"/>
    <w:rsid w:val="00736E7A"/>
    <w:rsid w:val="007416D7"/>
    <w:rsid w:val="0074288F"/>
    <w:rsid w:val="0074673B"/>
    <w:rsid w:val="00750862"/>
    <w:rsid w:val="00752D0E"/>
    <w:rsid w:val="00753F6A"/>
    <w:rsid w:val="0075470D"/>
    <w:rsid w:val="007548BB"/>
    <w:rsid w:val="00755232"/>
    <w:rsid w:val="007554A8"/>
    <w:rsid w:val="007566B5"/>
    <w:rsid w:val="00760284"/>
    <w:rsid w:val="00760B4D"/>
    <w:rsid w:val="00760BC2"/>
    <w:rsid w:val="00760DE0"/>
    <w:rsid w:val="00761FF5"/>
    <w:rsid w:val="00763CA4"/>
    <w:rsid w:val="007643AB"/>
    <w:rsid w:val="007647E3"/>
    <w:rsid w:val="00764832"/>
    <w:rsid w:val="00765A58"/>
    <w:rsid w:val="00765FD3"/>
    <w:rsid w:val="007708F6"/>
    <w:rsid w:val="00770F3E"/>
    <w:rsid w:val="0077318B"/>
    <w:rsid w:val="007737D6"/>
    <w:rsid w:val="007741A2"/>
    <w:rsid w:val="00774612"/>
    <w:rsid w:val="00775196"/>
    <w:rsid w:val="00782471"/>
    <w:rsid w:val="00783B5F"/>
    <w:rsid w:val="0078443C"/>
    <w:rsid w:val="00786B34"/>
    <w:rsid w:val="00786DCC"/>
    <w:rsid w:val="00787D54"/>
    <w:rsid w:val="0079046C"/>
    <w:rsid w:val="007904FD"/>
    <w:rsid w:val="00790568"/>
    <w:rsid w:val="00790B31"/>
    <w:rsid w:val="00790CB7"/>
    <w:rsid w:val="00790F5E"/>
    <w:rsid w:val="00791224"/>
    <w:rsid w:val="007913AC"/>
    <w:rsid w:val="007939EC"/>
    <w:rsid w:val="007949CE"/>
    <w:rsid w:val="0079616E"/>
    <w:rsid w:val="00796A43"/>
    <w:rsid w:val="00796CA1"/>
    <w:rsid w:val="00797CFF"/>
    <w:rsid w:val="007A010F"/>
    <w:rsid w:val="007A0DC7"/>
    <w:rsid w:val="007A1B46"/>
    <w:rsid w:val="007A1D50"/>
    <w:rsid w:val="007A327D"/>
    <w:rsid w:val="007A62E6"/>
    <w:rsid w:val="007B1683"/>
    <w:rsid w:val="007B1D13"/>
    <w:rsid w:val="007B2781"/>
    <w:rsid w:val="007B798A"/>
    <w:rsid w:val="007B79D7"/>
    <w:rsid w:val="007B7C9D"/>
    <w:rsid w:val="007C0C23"/>
    <w:rsid w:val="007C471E"/>
    <w:rsid w:val="007C494A"/>
    <w:rsid w:val="007C4F0C"/>
    <w:rsid w:val="007C5363"/>
    <w:rsid w:val="007C6AE5"/>
    <w:rsid w:val="007D0FF7"/>
    <w:rsid w:val="007D3120"/>
    <w:rsid w:val="007D33B5"/>
    <w:rsid w:val="007D4415"/>
    <w:rsid w:val="007D5126"/>
    <w:rsid w:val="007D729B"/>
    <w:rsid w:val="007D7DB7"/>
    <w:rsid w:val="007E0B35"/>
    <w:rsid w:val="007E2D28"/>
    <w:rsid w:val="007E3BEE"/>
    <w:rsid w:val="007E7AE0"/>
    <w:rsid w:val="007E7BA6"/>
    <w:rsid w:val="007F01F0"/>
    <w:rsid w:val="007F0A2B"/>
    <w:rsid w:val="007F11D8"/>
    <w:rsid w:val="007F24F8"/>
    <w:rsid w:val="007F3C7E"/>
    <w:rsid w:val="007F3FE6"/>
    <w:rsid w:val="007F4180"/>
    <w:rsid w:val="007F656D"/>
    <w:rsid w:val="008007AB"/>
    <w:rsid w:val="008042B2"/>
    <w:rsid w:val="00805B16"/>
    <w:rsid w:val="008070D6"/>
    <w:rsid w:val="008076EA"/>
    <w:rsid w:val="00807B9A"/>
    <w:rsid w:val="008107B1"/>
    <w:rsid w:val="00810A35"/>
    <w:rsid w:val="00811E7B"/>
    <w:rsid w:val="008128C2"/>
    <w:rsid w:val="00812901"/>
    <w:rsid w:val="00816CD7"/>
    <w:rsid w:val="00817476"/>
    <w:rsid w:val="00821AE2"/>
    <w:rsid w:val="00821C70"/>
    <w:rsid w:val="008251D5"/>
    <w:rsid w:val="0082703D"/>
    <w:rsid w:val="00827341"/>
    <w:rsid w:val="00827D57"/>
    <w:rsid w:val="008322F8"/>
    <w:rsid w:val="00833AB1"/>
    <w:rsid w:val="00834B55"/>
    <w:rsid w:val="00836498"/>
    <w:rsid w:val="00840480"/>
    <w:rsid w:val="00840A73"/>
    <w:rsid w:val="008418F9"/>
    <w:rsid w:val="00843877"/>
    <w:rsid w:val="00845F26"/>
    <w:rsid w:val="0085158B"/>
    <w:rsid w:val="00852749"/>
    <w:rsid w:val="00853BB1"/>
    <w:rsid w:val="0085542A"/>
    <w:rsid w:val="008554FA"/>
    <w:rsid w:val="0085556F"/>
    <w:rsid w:val="008605AB"/>
    <w:rsid w:val="008607A0"/>
    <w:rsid w:val="008618AA"/>
    <w:rsid w:val="00861CEA"/>
    <w:rsid w:val="0086445F"/>
    <w:rsid w:val="00865ADB"/>
    <w:rsid w:val="00865EE0"/>
    <w:rsid w:val="0086729D"/>
    <w:rsid w:val="008701E3"/>
    <w:rsid w:val="00870D85"/>
    <w:rsid w:val="00872760"/>
    <w:rsid w:val="00872A98"/>
    <w:rsid w:val="00875EC0"/>
    <w:rsid w:val="00877623"/>
    <w:rsid w:val="00883468"/>
    <w:rsid w:val="00883B4B"/>
    <w:rsid w:val="0089330A"/>
    <w:rsid w:val="00895FA5"/>
    <w:rsid w:val="008971EE"/>
    <w:rsid w:val="008974C4"/>
    <w:rsid w:val="008A03BA"/>
    <w:rsid w:val="008A18C7"/>
    <w:rsid w:val="008A3482"/>
    <w:rsid w:val="008A45FE"/>
    <w:rsid w:val="008A489B"/>
    <w:rsid w:val="008A4DC0"/>
    <w:rsid w:val="008A6809"/>
    <w:rsid w:val="008A75BC"/>
    <w:rsid w:val="008B0540"/>
    <w:rsid w:val="008B20A8"/>
    <w:rsid w:val="008B56F2"/>
    <w:rsid w:val="008B5D15"/>
    <w:rsid w:val="008B7510"/>
    <w:rsid w:val="008C0AC3"/>
    <w:rsid w:val="008C1965"/>
    <w:rsid w:val="008C6EBB"/>
    <w:rsid w:val="008D255B"/>
    <w:rsid w:val="008D4D11"/>
    <w:rsid w:val="008D5301"/>
    <w:rsid w:val="008D5D9F"/>
    <w:rsid w:val="008D601C"/>
    <w:rsid w:val="008D7A23"/>
    <w:rsid w:val="008E7D23"/>
    <w:rsid w:val="008F1479"/>
    <w:rsid w:val="008F1601"/>
    <w:rsid w:val="008F1A65"/>
    <w:rsid w:val="008F48E6"/>
    <w:rsid w:val="008F6C94"/>
    <w:rsid w:val="008F79C5"/>
    <w:rsid w:val="008F7BB5"/>
    <w:rsid w:val="00901D7D"/>
    <w:rsid w:val="009049C3"/>
    <w:rsid w:val="00906F1F"/>
    <w:rsid w:val="009070A9"/>
    <w:rsid w:val="009076BC"/>
    <w:rsid w:val="00910977"/>
    <w:rsid w:val="00910AAF"/>
    <w:rsid w:val="00910BD6"/>
    <w:rsid w:val="00910DE7"/>
    <w:rsid w:val="009112FE"/>
    <w:rsid w:val="00911DE6"/>
    <w:rsid w:val="009128AF"/>
    <w:rsid w:val="009129AA"/>
    <w:rsid w:val="00913BD6"/>
    <w:rsid w:val="00916387"/>
    <w:rsid w:val="00917921"/>
    <w:rsid w:val="00920110"/>
    <w:rsid w:val="00923A78"/>
    <w:rsid w:val="00924A82"/>
    <w:rsid w:val="00925677"/>
    <w:rsid w:val="00925B6F"/>
    <w:rsid w:val="009262E5"/>
    <w:rsid w:val="00927805"/>
    <w:rsid w:val="00930142"/>
    <w:rsid w:val="009317AB"/>
    <w:rsid w:val="00932BE6"/>
    <w:rsid w:val="0093549E"/>
    <w:rsid w:val="0093778B"/>
    <w:rsid w:val="00941500"/>
    <w:rsid w:val="009442F4"/>
    <w:rsid w:val="009443FD"/>
    <w:rsid w:val="00944BE7"/>
    <w:rsid w:val="00947806"/>
    <w:rsid w:val="00950D5D"/>
    <w:rsid w:val="0095182B"/>
    <w:rsid w:val="009546A8"/>
    <w:rsid w:val="00954C15"/>
    <w:rsid w:val="00956BA3"/>
    <w:rsid w:val="009612E8"/>
    <w:rsid w:val="00962D63"/>
    <w:rsid w:val="00962FEB"/>
    <w:rsid w:val="00963967"/>
    <w:rsid w:val="00964069"/>
    <w:rsid w:val="00967C1B"/>
    <w:rsid w:val="009727D9"/>
    <w:rsid w:val="009731BD"/>
    <w:rsid w:val="0097439B"/>
    <w:rsid w:val="00975089"/>
    <w:rsid w:val="009754E5"/>
    <w:rsid w:val="00975A8B"/>
    <w:rsid w:val="00977433"/>
    <w:rsid w:val="00980FEE"/>
    <w:rsid w:val="00981D8D"/>
    <w:rsid w:val="0098220A"/>
    <w:rsid w:val="009845C4"/>
    <w:rsid w:val="0098497D"/>
    <w:rsid w:val="009855DA"/>
    <w:rsid w:val="00985BE2"/>
    <w:rsid w:val="009866DA"/>
    <w:rsid w:val="00986874"/>
    <w:rsid w:val="009A3CCE"/>
    <w:rsid w:val="009A532E"/>
    <w:rsid w:val="009A56A9"/>
    <w:rsid w:val="009A5AAA"/>
    <w:rsid w:val="009A69BF"/>
    <w:rsid w:val="009B0307"/>
    <w:rsid w:val="009B17D4"/>
    <w:rsid w:val="009B1900"/>
    <w:rsid w:val="009B1C5D"/>
    <w:rsid w:val="009B445F"/>
    <w:rsid w:val="009B5C2B"/>
    <w:rsid w:val="009B751C"/>
    <w:rsid w:val="009C0330"/>
    <w:rsid w:val="009C052D"/>
    <w:rsid w:val="009C0540"/>
    <w:rsid w:val="009C14E4"/>
    <w:rsid w:val="009C36AD"/>
    <w:rsid w:val="009C48F4"/>
    <w:rsid w:val="009D30FA"/>
    <w:rsid w:val="009D7C53"/>
    <w:rsid w:val="009E00FE"/>
    <w:rsid w:val="009E0CFD"/>
    <w:rsid w:val="009E388A"/>
    <w:rsid w:val="009E3B07"/>
    <w:rsid w:val="009E3CA4"/>
    <w:rsid w:val="009E4045"/>
    <w:rsid w:val="009E49C2"/>
    <w:rsid w:val="009E52DF"/>
    <w:rsid w:val="009E65BF"/>
    <w:rsid w:val="00A002BB"/>
    <w:rsid w:val="00A00756"/>
    <w:rsid w:val="00A00ADA"/>
    <w:rsid w:val="00A01681"/>
    <w:rsid w:val="00A01FE2"/>
    <w:rsid w:val="00A02697"/>
    <w:rsid w:val="00A0752F"/>
    <w:rsid w:val="00A075BD"/>
    <w:rsid w:val="00A07D00"/>
    <w:rsid w:val="00A07DC7"/>
    <w:rsid w:val="00A11C33"/>
    <w:rsid w:val="00A131B0"/>
    <w:rsid w:val="00A1624E"/>
    <w:rsid w:val="00A16F38"/>
    <w:rsid w:val="00A20AAA"/>
    <w:rsid w:val="00A2132E"/>
    <w:rsid w:val="00A218BF"/>
    <w:rsid w:val="00A21CB9"/>
    <w:rsid w:val="00A220A8"/>
    <w:rsid w:val="00A22C4A"/>
    <w:rsid w:val="00A23033"/>
    <w:rsid w:val="00A24D16"/>
    <w:rsid w:val="00A25A00"/>
    <w:rsid w:val="00A26C5B"/>
    <w:rsid w:val="00A270D1"/>
    <w:rsid w:val="00A27FB3"/>
    <w:rsid w:val="00A301F5"/>
    <w:rsid w:val="00A30356"/>
    <w:rsid w:val="00A3076E"/>
    <w:rsid w:val="00A32283"/>
    <w:rsid w:val="00A322B0"/>
    <w:rsid w:val="00A36459"/>
    <w:rsid w:val="00A375A9"/>
    <w:rsid w:val="00A37FD7"/>
    <w:rsid w:val="00A42917"/>
    <w:rsid w:val="00A43689"/>
    <w:rsid w:val="00A47365"/>
    <w:rsid w:val="00A47FA3"/>
    <w:rsid w:val="00A533D8"/>
    <w:rsid w:val="00A53C94"/>
    <w:rsid w:val="00A5472E"/>
    <w:rsid w:val="00A547E6"/>
    <w:rsid w:val="00A54E4E"/>
    <w:rsid w:val="00A56B82"/>
    <w:rsid w:val="00A57349"/>
    <w:rsid w:val="00A5787B"/>
    <w:rsid w:val="00A60619"/>
    <w:rsid w:val="00A60CF6"/>
    <w:rsid w:val="00A60FE0"/>
    <w:rsid w:val="00A61A82"/>
    <w:rsid w:val="00A625E9"/>
    <w:rsid w:val="00A62D9B"/>
    <w:rsid w:val="00A6470F"/>
    <w:rsid w:val="00A66255"/>
    <w:rsid w:val="00A66DA9"/>
    <w:rsid w:val="00A67DB9"/>
    <w:rsid w:val="00A72491"/>
    <w:rsid w:val="00A7445F"/>
    <w:rsid w:val="00A75688"/>
    <w:rsid w:val="00A76697"/>
    <w:rsid w:val="00A771CE"/>
    <w:rsid w:val="00A77F3A"/>
    <w:rsid w:val="00A834BE"/>
    <w:rsid w:val="00A84195"/>
    <w:rsid w:val="00A85F65"/>
    <w:rsid w:val="00A861A8"/>
    <w:rsid w:val="00A86597"/>
    <w:rsid w:val="00A86900"/>
    <w:rsid w:val="00A86FC6"/>
    <w:rsid w:val="00A93922"/>
    <w:rsid w:val="00A939C2"/>
    <w:rsid w:val="00A96D18"/>
    <w:rsid w:val="00AA33F0"/>
    <w:rsid w:val="00AB3167"/>
    <w:rsid w:val="00AB4367"/>
    <w:rsid w:val="00AB4560"/>
    <w:rsid w:val="00AB4C82"/>
    <w:rsid w:val="00AB4D21"/>
    <w:rsid w:val="00AB596E"/>
    <w:rsid w:val="00AB5D58"/>
    <w:rsid w:val="00AB6671"/>
    <w:rsid w:val="00AC1207"/>
    <w:rsid w:val="00AC1BBA"/>
    <w:rsid w:val="00AC3594"/>
    <w:rsid w:val="00AC4951"/>
    <w:rsid w:val="00AC5131"/>
    <w:rsid w:val="00AC566C"/>
    <w:rsid w:val="00AC7260"/>
    <w:rsid w:val="00AC7B3B"/>
    <w:rsid w:val="00AD0F7A"/>
    <w:rsid w:val="00AD12F1"/>
    <w:rsid w:val="00AD27E8"/>
    <w:rsid w:val="00AD28C4"/>
    <w:rsid w:val="00AD2CC8"/>
    <w:rsid w:val="00AD2CD8"/>
    <w:rsid w:val="00AD4EC8"/>
    <w:rsid w:val="00AD7937"/>
    <w:rsid w:val="00AE090F"/>
    <w:rsid w:val="00AE2251"/>
    <w:rsid w:val="00AE253B"/>
    <w:rsid w:val="00AE453D"/>
    <w:rsid w:val="00AE55B2"/>
    <w:rsid w:val="00AE5D36"/>
    <w:rsid w:val="00AE6402"/>
    <w:rsid w:val="00AF29F5"/>
    <w:rsid w:val="00AF371C"/>
    <w:rsid w:val="00AF3E8E"/>
    <w:rsid w:val="00AF4D47"/>
    <w:rsid w:val="00AF4DD9"/>
    <w:rsid w:val="00AF77EE"/>
    <w:rsid w:val="00B0284A"/>
    <w:rsid w:val="00B045A4"/>
    <w:rsid w:val="00B049E6"/>
    <w:rsid w:val="00B0534E"/>
    <w:rsid w:val="00B0569F"/>
    <w:rsid w:val="00B06553"/>
    <w:rsid w:val="00B10219"/>
    <w:rsid w:val="00B1139A"/>
    <w:rsid w:val="00B13CB0"/>
    <w:rsid w:val="00B1411D"/>
    <w:rsid w:val="00B142A6"/>
    <w:rsid w:val="00B17EA2"/>
    <w:rsid w:val="00B21A93"/>
    <w:rsid w:val="00B22585"/>
    <w:rsid w:val="00B25FF4"/>
    <w:rsid w:val="00B262F5"/>
    <w:rsid w:val="00B27D73"/>
    <w:rsid w:val="00B30663"/>
    <w:rsid w:val="00B30C3C"/>
    <w:rsid w:val="00B3163A"/>
    <w:rsid w:val="00B31EC1"/>
    <w:rsid w:val="00B35FC1"/>
    <w:rsid w:val="00B412C7"/>
    <w:rsid w:val="00B419F4"/>
    <w:rsid w:val="00B422D9"/>
    <w:rsid w:val="00B42E65"/>
    <w:rsid w:val="00B43B08"/>
    <w:rsid w:val="00B43DC7"/>
    <w:rsid w:val="00B46E27"/>
    <w:rsid w:val="00B503E5"/>
    <w:rsid w:val="00B54F81"/>
    <w:rsid w:val="00B56AD4"/>
    <w:rsid w:val="00B56CEC"/>
    <w:rsid w:val="00B56DA5"/>
    <w:rsid w:val="00B57C8D"/>
    <w:rsid w:val="00B61B5E"/>
    <w:rsid w:val="00B6430B"/>
    <w:rsid w:val="00B65B8F"/>
    <w:rsid w:val="00B70796"/>
    <w:rsid w:val="00B707EB"/>
    <w:rsid w:val="00B715FC"/>
    <w:rsid w:val="00B73FD0"/>
    <w:rsid w:val="00B7494A"/>
    <w:rsid w:val="00B75352"/>
    <w:rsid w:val="00B75B38"/>
    <w:rsid w:val="00B75C0C"/>
    <w:rsid w:val="00B7716C"/>
    <w:rsid w:val="00B77E34"/>
    <w:rsid w:val="00B8209D"/>
    <w:rsid w:val="00B82D7B"/>
    <w:rsid w:val="00B84E94"/>
    <w:rsid w:val="00B85690"/>
    <w:rsid w:val="00B8585E"/>
    <w:rsid w:val="00B91470"/>
    <w:rsid w:val="00B93DE9"/>
    <w:rsid w:val="00B94339"/>
    <w:rsid w:val="00B96FCA"/>
    <w:rsid w:val="00B97CB0"/>
    <w:rsid w:val="00BA2B41"/>
    <w:rsid w:val="00BA46C9"/>
    <w:rsid w:val="00BA5302"/>
    <w:rsid w:val="00BA5757"/>
    <w:rsid w:val="00BA6192"/>
    <w:rsid w:val="00BA62DC"/>
    <w:rsid w:val="00BA63E0"/>
    <w:rsid w:val="00BB07DC"/>
    <w:rsid w:val="00BB1CF4"/>
    <w:rsid w:val="00BB2B8A"/>
    <w:rsid w:val="00BB4866"/>
    <w:rsid w:val="00BB5730"/>
    <w:rsid w:val="00BB59D7"/>
    <w:rsid w:val="00BB5F60"/>
    <w:rsid w:val="00BC00D6"/>
    <w:rsid w:val="00BC00DB"/>
    <w:rsid w:val="00BC0B75"/>
    <w:rsid w:val="00BC122A"/>
    <w:rsid w:val="00BC134D"/>
    <w:rsid w:val="00BC2280"/>
    <w:rsid w:val="00BC311F"/>
    <w:rsid w:val="00BC407E"/>
    <w:rsid w:val="00BC5B75"/>
    <w:rsid w:val="00BC6681"/>
    <w:rsid w:val="00BC7F73"/>
    <w:rsid w:val="00BD0A5C"/>
    <w:rsid w:val="00BD0D8A"/>
    <w:rsid w:val="00BD10BD"/>
    <w:rsid w:val="00BD11AF"/>
    <w:rsid w:val="00BD183F"/>
    <w:rsid w:val="00BD23B3"/>
    <w:rsid w:val="00BD5387"/>
    <w:rsid w:val="00BD64F3"/>
    <w:rsid w:val="00BD6EA2"/>
    <w:rsid w:val="00BD728C"/>
    <w:rsid w:val="00BD7701"/>
    <w:rsid w:val="00BE2B1D"/>
    <w:rsid w:val="00BE33C2"/>
    <w:rsid w:val="00BE36AF"/>
    <w:rsid w:val="00BE5C24"/>
    <w:rsid w:val="00BE66DC"/>
    <w:rsid w:val="00BF0618"/>
    <w:rsid w:val="00BF0622"/>
    <w:rsid w:val="00BF1F3D"/>
    <w:rsid w:val="00BF227C"/>
    <w:rsid w:val="00BF4A42"/>
    <w:rsid w:val="00BF511B"/>
    <w:rsid w:val="00BF5C4B"/>
    <w:rsid w:val="00BF7737"/>
    <w:rsid w:val="00C009C9"/>
    <w:rsid w:val="00C0157D"/>
    <w:rsid w:val="00C017C8"/>
    <w:rsid w:val="00C04252"/>
    <w:rsid w:val="00C04F59"/>
    <w:rsid w:val="00C05FE1"/>
    <w:rsid w:val="00C06BB0"/>
    <w:rsid w:val="00C072B9"/>
    <w:rsid w:val="00C07CF9"/>
    <w:rsid w:val="00C119F1"/>
    <w:rsid w:val="00C11A30"/>
    <w:rsid w:val="00C12794"/>
    <w:rsid w:val="00C138EE"/>
    <w:rsid w:val="00C16D48"/>
    <w:rsid w:val="00C179E6"/>
    <w:rsid w:val="00C23163"/>
    <w:rsid w:val="00C25588"/>
    <w:rsid w:val="00C27399"/>
    <w:rsid w:val="00C32766"/>
    <w:rsid w:val="00C34D1A"/>
    <w:rsid w:val="00C352CF"/>
    <w:rsid w:val="00C355E6"/>
    <w:rsid w:val="00C361A5"/>
    <w:rsid w:val="00C37013"/>
    <w:rsid w:val="00C40A6F"/>
    <w:rsid w:val="00C41489"/>
    <w:rsid w:val="00C41838"/>
    <w:rsid w:val="00C41843"/>
    <w:rsid w:val="00C4217A"/>
    <w:rsid w:val="00C422B5"/>
    <w:rsid w:val="00C425FA"/>
    <w:rsid w:val="00C4364A"/>
    <w:rsid w:val="00C4382D"/>
    <w:rsid w:val="00C444CC"/>
    <w:rsid w:val="00C444DA"/>
    <w:rsid w:val="00C44A49"/>
    <w:rsid w:val="00C45930"/>
    <w:rsid w:val="00C4785D"/>
    <w:rsid w:val="00C50374"/>
    <w:rsid w:val="00C51F8A"/>
    <w:rsid w:val="00C52944"/>
    <w:rsid w:val="00C5296C"/>
    <w:rsid w:val="00C533D7"/>
    <w:rsid w:val="00C547E9"/>
    <w:rsid w:val="00C5538B"/>
    <w:rsid w:val="00C56528"/>
    <w:rsid w:val="00C56662"/>
    <w:rsid w:val="00C62044"/>
    <w:rsid w:val="00C62D5E"/>
    <w:rsid w:val="00C65792"/>
    <w:rsid w:val="00C660D3"/>
    <w:rsid w:val="00C700F6"/>
    <w:rsid w:val="00C702D5"/>
    <w:rsid w:val="00C73CCA"/>
    <w:rsid w:val="00C74748"/>
    <w:rsid w:val="00C75447"/>
    <w:rsid w:val="00C757C4"/>
    <w:rsid w:val="00C7708D"/>
    <w:rsid w:val="00C83CC3"/>
    <w:rsid w:val="00C83FA8"/>
    <w:rsid w:val="00C85017"/>
    <w:rsid w:val="00C8523A"/>
    <w:rsid w:val="00C85409"/>
    <w:rsid w:val="00C8574B"/>
    <w:rsid w:val="00C85A22"/>
    <w:rsid w:val="00C85A8F"/>
    <w:rsid w:val="00C85AD4"/>
    <w:rsid w:val="00C90C0E"/>
    <w:rsid w:val="00C9157F"/>
    <w:rsid w:val="00C92ADD"/>
    <w:rsid w:val="00C92E4C"/>
    <w:rsid w:val="00C94136"/>
    <w:rsid w:val="00C953EE"/>
    <w:rsid w:val="00C96E53"/>
    <w:rsid w:val="00C9745B"/>
    <w:rsid w:val="00CA12C9"/>
    <w:rsid w:val="00CA6A35"/>
    <w:rsid w:val="00CA6E68"/>
    <w:rsid w:val="00CB03BE"/>
    <w:rsid w:val="00CB0F08"/>
    <w:rsid w:val="00CC0532"/>
    <w:rsid w:val="00CC1C6B"/>
    <w:rsid w:val="00CC24D9"/>
    <w:rsid w:val="00CC3F70"/>
    <w:rsid w:val="00CC5C96"/>
    <w:rsid w:val="00CC696E"/>
    <w:rsid w:val="00CD0A7E"/>
    <w:rsid w:val="00CD19D5"/>
    <w:rsid w:val="00CD2F3B"/>
    <w:rsid w:val="00CD33D4"/>
    <w:rsid w:val="00CD4C4B"/>
    <w:rsid w:val="00CD54A9"/>
    <w:rsid w:val="00CD7FD8"/>
    <w:rsid w:val="00CE6002"/>
    <w:rsid w:val="00CE64AA"/>
    <w:rsid w:val="00CE6AED"/>
    <w:rsid w:val="00CE747B"/>
    <w:rsid w:val="00CF1B14"/>
    <w:rsid w:val="00CF5696"/>
    <w:rsid w:val="00CF5B74"/>
    <w:rsid w:val="00D02E27"/>
    <w:rsid w:val="00D03B50"/>
    <w:rsid w:val="00D05264"/>
    <w:rsid w:val="00D05E38"/>
    <w:rsid w:val="00D0669C"/>
    <w:rsid w:val="00D07983"/>
    <w:rsid w:val="00D11CED"/>
    <w:rsid w:val="00D126F7"/>
    <w:rsid w:val="00D159F9"/>
    <w:rsid w:val="00D164F2"/>
    <w:rsid w:val="00D16D13"/>
    <w:rsid w:val="00D1713E"/>
    <w:rsid w:val="00D203F4"/>
    <w:rsid w:val="00D20A42"/>
    <w:rsid w:val="00D20A6D"/>
    <w:rsid w:val="00D24C99"/>
    <w:rsid w:val="00D26913"/>
    <w:rsid w:val="00D27236"/>
    <w:rsid w:val="00D27D3F"/>
    <w:rsid w:val="00D3265B"/>
    <w:rsid w:val="00D34270"/>
    <w:rsid w:val="00D34788"/>
    <w:rsid w:val="00D356E9"/>
    <w:rsid w:val="00D35A94"/>
    <w:rsid w:val="00D40C86"/>
    <w:rsid w:val="00D428FC"/>
    <w:rsid w:val="00D43032"/>
    <w:rsid w:val="00D4340D"/>
    <w:rsid w:val="00D44F15"/>
    <w:rsid w:val="00D53662"/>
    <w:rsid w:val="00D61E0A"/>
    <w:rsid w:val="00D64E75"/>
    <w:rsid w:val="00D65670"/>
    <w:rsid w:val="00D66880"/>
    <w:rsid w:val="00D70E29"/>
    <w:rsid w:val="00D72AE6"/>
    <w:rsid w:val="00D73198"/>
    <w:rsid w:val="00D73D96"/>
    <w:rsid w:val="00D75402"/>
    <w:rsid w:val="00D75B47"/>
    <w:rsid w:val="00D76208"/>
    <w:rsid w:val="00D77C95"/>
    <w:rsid w:val="00D80014"/>
    <w:rsid w:val="00D804D0"/>
    <w:rsid w:val="00D80A9F"/>
    <w:rsid w:val="00D81A54"/>
    <w:rsid w:val="00D83BD3"/>
    <w:rsid w:val="00D85668"/>
    <w:rsid w:val="00D864EE"/>
    <w:rsid w:val="00D87550"/>
    <w:rsid w:val="00D91563"/>
    <w:rsid w:val="00D93799"/>
    <w:rsid w:val="00D9420E"/>
    <w:rsid w:val="00D9434D"/>
    <w:rsid w:val="00D95BB7"/>
    <w:rsid w:val="00DA0F26"/>
    <w:rsid w:val="00DA2D76"/>
    <w:rsid w:val="00DA3638"/>
    <w:rsid w:val="00DA428C"/>
    <w:rsid w:val="00DA4E8B"/>
    <w:rsid w:val="00DB004D"/>
    <w:rsid w:val="00DB0712"/>
    <w:rsid w:val="00DB1805"/>
    <w:rsid w:val="00DB2206"/>
    <w:rsid w:val="00DB2B55"/>
    <w:rsid w:val="00DB3BAA"/>
    <w:rsid w:val="00DB3C3A"/>
    <w:rsid w:val="00DB6827"/>
    <w:rsid w:val="00DB74F8"/>
    <w:rsid w:val="00DB784E"/>
    <w:rsid w:val="00DC0309"/>
    <w:rsid w:val="00DC59D6"/>
    <w:rsid w:val="00DD17B3"/>
    <w:rsid w:val="00DD3B1C"/>
    <w:rsid w:val="00DD75F9"/>
    <w:rsid w:val="00DE5795"/>
    <w:rsid w:val="00DE5F68"/>
    <w:rsid w:val="00DE7506"/>
    <w:rsid w:val="00DF09BE"/>
    <w:rsid w:val="00DF1E51"/>
    <w:rsid w:val="00DF3269"/>
    <w:rsid w:val="00DF66A3"/>
    <w:rsid w:val="00E018A5"/>
    <w:rsid w:val="00E01BF9"/>
    <w:rsid w:val="00E0234A"/>
    <w:rsid w:val="00E03120"/>
    <w:rsid w:val="00E03138"/>
    <w:rsid w:val="00E03755"/>
    <w:rsid w:val="00E03F24"/>
    <w:rsid w:val="00E03F87"/>
    <w:rsid w:val="00E04047"/>
    <w:rsid w:val="00E04666"/>
    <w:rsid w:val="00E05992"/>
    <w:rsid w:val="00E06079"/>
    <w:rsid w:val="00E06237"/>
    <w:rsid w:val="00E07B66"/>
    <w:rsid w:val="00E10DAB"/>
    <w:rsid w:val="00E12755"/>
    <w:rsid w:val="00E12794"/>
    <w:rsid w:val="00E131F8"/>
    <w:rsid w:val="00E169D5"/>
    <w:rsid w:val="00E22266"/>
    <w:rsid w:val="00E23BD9"/>
    <w:rsid w:val="00E24AB4"/>
    <w:rsid w:val="00E25E76"/>
    <w:rsid w:val="00E25F44"/>
    <w:rsid w:val="00E2665E"/>
    <w:rsid w:val="00E26E54"/>
    <w:rsid w:val="00E26EFC"/>
    <w:rsid w:val="00E2789A"/>
    <w:rsid w:val="00E30CDC"/>
    <w:rsid w:val="00E329C5"/>
    <w:rsid w:val="00E32D8F"/>
    <w:rsid w:val="00E36C1A"/>
    <w:rsid w:val="00E41649"/>
    <w:rsid w:val="00E417BB"/>
    <w:rsid w:val="00E42BC1"/>
    <w:rsid w:val="00E430ED"/>
    <w:rsid w:val="00E43D6F"/>
    <w:rsid w:val="00E45AC8"/>
    <w:rsid w:val="00E463B5"/>
    <w:rsid w:val="00E479BD"/>
    <w:rsid w:val="00E51CA6"/>
    <w:rsid w:val="00E5322A"/>
    <w:rsid w:val="00E61BD5"/>
    <w:rsid w:val="00E6292C"/>
    <w:rsid w:val="00E63CF8"/>
    <w:rsid w:val="00E6650A"/>
    <w:rsid w:val="00E66C2F"/>
    <w:rsid w:val="00E66FFE"/>
    <w:rsid w:val="00E670B8"/>
    <w:rsid w:val="00E6796A"/>
    <w:rsid w:val="00E73FA4"/>
    <w:rsid w:val="00E75FCB"/>
    <w:rsid w:val="00E7632E"/>
    <w:rsid w:val="00E779E5"/>
    <w:rsid w:val="00E804B5"/>
    <w:rsid w:val="00E81D86"/>
    <w:rsid w:val="00E81F1E"/>
    <w:rsid w:val="00E862F7"/>
    <w:rsid w:val="00E91136"/>
    <w:rsid w:val="00E91867"/>
    <w:rsid w:val="00E92990"/>
    <w:rsid w:val="00E92E76"/>
    <w:rsid w:val="00E9316E"/>
    <w:rsid w:val="00E94AAC"/>
    <w:rsid w:val="00E9530D"/>
    <w:rsid w:val="00E9640D"/>
    <w:rsid w:val="00EA0C96"/>
    <w:rsid w:val="00EA1E35"/>
    <w:rsid w:val="00EA2983"/>
    <w:rsid w:val="00EA38E5"/>
    <w:rsid w:val="00EA3F50"/>
    <w:rsid w:val="00EA4088"/>
    <w:rsid w:val="00EA4265"/>
    <w:rsid w:val="00EA4296"/>
    <w:rsid w:val="00EA5D77"/>
    <w:rsid w:val="00EA6050"/>
    <w:rsid w:val="00EA68C0"/>
    <w:rsid w:val="00EA6908"/>
    <w:rsid w:val="00EA728C"/>
    <w:rsid w:val="00EA7349"/>
    <w:rsid w:val="00EB08E9"/>
    <w:rsid w:val="00EB3D12"/>
    <w:rsid w:val="00EB5FFA"/>
    <w:rsid w:val="00EC0414"/>
    <w:rsid w:val="00EC0DDD"/>
    <w:rsid w:val="00EC2F7E"/>
    <w:rsid w:val="00EC3C5F"/>
    <w:rsid w:val="00EC40FF"/>
    <w:rsid w:val="00ED08A2"/>
    <w:rsid w:val="00ED2439"/>
    <w:rsid w:val="00ED35A1"/>
    <w:rsid w:val="00ED4194"/>
    <w:rsid w:val="00ED477F"/>
    <w:rsid w:val="00ED4DDE"/>
    <w:rsid w:val="00ED7844"/>
    <w:rsid w:val="00ED7E3F"/>
    <w:rsid w:val="00EE0BD1"/>
    <w:rsid w:val="00EE3E06"/>
    <w:rsid w:val="00EE4BB4"/>
    <w:rsid w:val="00EF0075"/>
    <w:rsid w:val="00EF070B"/>
    <w:rsid w:val="00EF0BDB"/>
    <w:rsid w:val="00EF232A"/>
    <w:rsid w:val="00EF2C4A"/>
    <w:rsid w:val="00EF3A0D"/>
    <w:rsid w:val="00EF5E6C"/>
    <w:rsid w:val="00EF6397"/>
    <w:rsid w:val="00EF712F"/>
    <w:rsid w:val="00EF74B9"/>
    <w:rsid w:val="00EF769F"/>
    <w:rsid w:val="00EF76B0"/>
    <w:rsid w:val="00EF7EF2"/>
    <w:rsid w:val="00F020EE"/>
    <w:rsid w:val="00F03D75"/>
    <w:rsid w:val="00F0442A"/>
    <w:rsid w:val="00F057BA"/>
    <w:rsid w:val="00F05D78"/>
    <w:rsid w:val="00F05E90"/>
    <w:rsid w:val="00F07B9A"/>
    <w:rsid w:val="00F115CD"/>
    <w:rsid w:val="00F11E53"/>
    <w:rsid w:val="00F1230D"/>
    <w:rsid w:val="00F12751"/>
    <w:rsid w:val="00F13570"/>
    <w:rsid w:val="00F1367F"/>
    <w:rsid w:val="00F1391F"/>
    <w:rsid w:val="00F14632"/>
    <w:rsid w:val="00F15D6F"/>
    <w:rsid w:val="00F16FE4"/>
    <w:rsid w:val="00F1791F"/>
    <w:rsid w:val="00F213B7"/>
    <w:rsid w:val="00F231C5"/>
    <w:rsid w:val="00F241B3"/>
    <w:rsid w:val="00F24830"/>
    <w:rsid w:val="00F276C0"/>
    <w:rsid w:val="00F27D01"/>
    <w:rsid w:val="00F30A69"/>
    <w:rsid w:val="00F30B6B"/>
    <w:rsid w:val="00F32503"/>
    <w:rsid w:val="00F32523"/>
    <w:rsid w:val="00F325DE"/>
    <w:rsid w:val="00F3390E"/>
    <w:rsid w:val="00F3510B"/>
    <w:rsid w:val="00F365C2"/>
    <w:rsid w:val="00F37D25"/>
    <w:rsid w:val="00F428C1"/>
    <w:rsid w:val="00F431FC"/>
    <w:rsid w:val="00F43887"/>
    <w:rsid w:val="00F43AB9"/>
    <w:rsid w:val="00F43D06"/>
    <w:rsid w:val="00F4471E"/>
    <w:rsid w:val="00F47C62"/>
    <w:rsid w:val="00F50C3C"/>
    <w:rsid w:val="00F5428F"/>
    <w:rsid w:val="00F56A42"/>
    <w:rsid w:val="00F57D7B"/>
    <w:rsid w:val="00F6166A"/>
    <w:rsid w:val="00F62C74"/>
    <w:rsid w:val="00F64CCA"/>
    <w:rsid w:val="00F657EF"/>
    <w:rsid w:val="00F67700"/>
    <w:rsid w:val="00F70233"/>
    <w:rsid w:val="00F70B93"/>
    <w:rsid w:val="00F74182"/>
    <w:rsid w:val="00F75C35"/>
    <w:rsid w:val="00F77F7D"/>
    <w:rsid w:val="00F801A2"/>
    <w:rsid w:val="00F8043C"/>
    <w:rsid w:val="00F80CC2"/>
    <w:rsid w:val="00F82003"/>
    <w:rsid w:val="00F82FB7"/>
    <w:rsid w:val="00F8327C"/>
    <w:rsid w:val="00F8399F"/>
    <w:rsid w:val="00F83E69"/>
    <w:rsid w:val="00F848CF"/>
    <w:rsid w:val="00F87684"/>
    <w:rsid w:val="00F9021B"/>
    <w:rsid w:val="00F91A44"/>
    <w:rsid w:val="00F91F65"/>
    <w:rsid w:val="00F930CB"/>
    <w:rsid w:val="00F95165"/>
    <w:rsid w:val="00F95741"/>
    <w:rsid w:val="00F96194"/>
    <w:rsid w:val="00FA204C"/>
    <w:rsid w:val="00FA3A32"/>
    <w:rsid w:val="00FA493A"/>
    <w:rsid w:val="00FA6F44"/>
    <w:rsid w:val="00FA7B69"/>
    <w:rsid w:val="00FB1DB2"/>
    <w:rsid w:val="00FB3910"/>
    <w:rsid w:val="00FB4236"/>
    <w:rsid w:val="00FB653A"/>
    <w:rsid w:val="00FB7DC2"/>
    <w:rsid w:val="00FC1A02"/>
    <w:rsid w:val="00FC32E5"/>
    <w:rsid w:val="00FC5586"/>
    <w:rsid w:val="00FC6BC1"/>
    <w:rsid w:val="00FD05A3"/>
    <w:rsid w:val="00FD35D1"/>
    <w:rsid w:val="00FD3D26"/>
    <w:rsid w:val="00FD5808"/>
    <w:rsid w:val="00FD688D"/>
    <w:rsid w:val="00FD7966"/>
    <w:rsid w:val="00FE25BC"/>
    <w:rsid w:val="00FE282B"/>
    <w:rsid w:val="00FE31AA"/>
    <w:rsid w:val="00FE372F"/>
    <w:rsid w:val="00FE56E0"/>
    <w:rsid w:val="00FE7A59"/>
    <w:rsid w:val="00FF0A33"/>
    <w:rsid w:val="00FF17FC"/>
    <w:rsid w:val="00FF18BC"/>
    <w:rsid w:val="00FF2A55"/>
    <w:rsid w:val="00FF6A80"/>
    <w:rsid w:val="00FF7AF1"/>
    <w:rsid w:val="04EB6735"/>
    <w:rsid w:val="0A4430AD"/>
    <w:rsid w:val="0A7BDD41"/>
    <w:rsid w:val="0D43F507"/>
    <w:rsid w:val="1151CFA9"/>
    <w:rsid w:val="124F4292"/>
    <w:rsid w:val="162C06FD"/>
    <w:rsid w:val="16A548E6"/>
    <w:rsid w:val="16C2117C"/>
    <w:rsid w:val="171E85D0"/>
    <w:rsid w:val="1A094FB2"/>
    <w:rsid w:val="1B59CD33"/>
    <w:rsid w:val="236AA391"/>
    <w:rsid w:val="259A7768"/>
    <w:rsid w:val="2777757A"/>
    <w:rsid w:val="2A2D7990"/>
    <w:rsid w:val="2B6C5A90"/>
    <w:rsid w:val="2BE9704F"/>
    <w:rsid w:val="2D8540B0"/>
    <w:rsid w:val="2E7E85B4"/>
    <w:rsid w:val="302113B0"/>
    <w:rsid w:val="31C273B7"/>
    <w:rsid w:val="31D0ED02"/>
    <w:rsid w:val="34026DD3"/>
    <w:rsid w:val="35A47FC7"/>
    <w:rsid w:val="39D9098F"/>
    <w:rsid w:val="3D10AA51"/>
    <w:rsid w:val="3EAB412A"/>
    <w:rsid w:val="4032180E"/>
    <w:rsid w:val="41BF3D4E"/>
    <w:rsid w:val="427D8954"/>
    <w:rsid w:val="44BF01A8"/>
    <w:rsid w:val="4691E523"/>
    <w:rsid w:val="482E7ED2"/>
    <w:rsid w:val="484A36E5"/>
    <w:rsid w:val="4860A955"/>
    <w:rsid w:val="49EB96EC"/>
    <w:rsid w:val="4D38A06A"/>
    <w:rsid w:val="5221EB7E"/>
    <w:rsid w:val="52C9240B"/>
    <w:rsid w:val="53877011"/>
    <w:rsid w:val="591F3D32"/>
    <w:rsid w:val="5AFFAA73"/>
    <w:rsid w:val="5C7825AD"/>
    <w:rsid w:val="5F8E7EB6"/>
    <w:rsid w:val="6261DD06"/>
    <w:rsid w:val="628E4310"/>
    <w:rsid w:val="62C61F78"/>
    <w:rsid w:val="63FDAD67"/>
    <w:rsid w:val="661F07F3"/>
    <w:rsid w:val="6C74EF44"/>
    <w:rsid w:val="6CB98C24"/>
    <w:rsid w:val="6F1DDCCB"/>
    <w:rsid w:val="760DED9C"/>
    <w:rsid w:val="770FC653"/>
    <w:rsid w:val="797EE6CF"/>
    <w:rsid w:val="7CC1C383"/>
    <w:rsid w:val="7F265C2B"/>
    <w:rsid w:val="7FC5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CADF29"/>
  <w15:chartTrackingRefBased/>
  <w15:docId w15:val="{3E7E3BDC-CB6F-468A-8392-CF2C4100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70796"/>
    <w:pPr>
      <w:keepNext/>
      <w:keepLines/>
      <w:spacing w:after="0" w:line="600" w:lineRule="auto"/>
      <w:jc w:val="both"/>
      <w:outlineLvl w:val="0"/>
    </w:pPr>
    <w:rPr>
      <w:rFonts w:ascii="Times New Roman" w:eastAsiaTheme="majorEastAsia" w:hAnsi="Times New Roman" w:cs="Times New Roman"/>
      <w:b/>
      <w:sz w:val="24"/>
      <w:szCs w:val="24"/>
      <w:lang w:val="fr-FR"/>
    </w:rPr>
  </w:style>
  <w:style w:type="paragraph" w:styleId="Heading3">
    <w:name w:val="heading 3"/>
    <w:basedOn w:val="Normal"/>
    <w:next w:val="Normal"/>
    <w:link w:val="Heading3Char"/>
    <w:uiPriority w:val="9"/>
    <w:unhideWhenUsed/>
    <w:qFormat/>
    <w:rsid w:val="00052185"/>
    <w:pPr>
      <w:keepNext/>
      <w:keepLines/>
      <w:spacing w:before="40" w:after="0"/>
      <w:outlineLvl w:val="2"/>
    </w:pPr>
    <w:rPr>
      <w:rFonts w:asciiTheme="majorHAnsi" w:eastAsiaTheme="majorEastAsia" w:hAnsiTheme="majorHAnsi" w:cstheme="majorBidi"/>
      <w:color w:val="1F4D78" w:themeColor="accent1" w:themeShade="7F"/>
      <w:kern w:val="2"/>
      <w:sz w:val="24"/>
      <w:szCs w:val="24"/>
      <w:lang w:val="en-BZ"/>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87"/>
    <w:pPr>
      <w:ind w:left="720"/>
      <w:contextualSpacing/>
    </w:pPr>
  </w:style>
  <w:style w:type="paragraph" w:customStyle="1" w:styleId="BodyText1">
    <w:name w:val="Body Text1"/>
    <w:basedOn w:val="Normal"/>
    <w:rsid w:val="00843877"/>
    <w:pPr>
      <w:spacing w:after="240" w:line="280" w:lineRule="exact"/>
    </w:pPr>
    <w:rPr>
      <w:rFonts w:ascii="Times New Roman" w:eastAsia="MS Mincho" w:hAnsi="Times New Roman" w:cs="Times New Roman"/>
      <w:sz w:val="24"/>
      <w:szCs w:val="24"/>
      <w:lang w:eastAsia="zh-CN"/>
    </w:rPr>
  </w:style>
  <w:style w:type="character" w:styleId="CommentReference">
    <w:name w:val="annotation reference"/>
    <w:basedOn w:val="DefaultParagraphFont"/>
    <w:uiPriority w:val="99"/>
    <w:semiHidden/>
    <w:unhideWhenUsed/>
    <w:rsid w:val="00E131F8"/>
    <w:rPr>
      <w:sz w:val="16"/>
      <w:szCs w:val="16"/>
    </w:rPr>
  </w:style>
  <w:style w:type="paragraph" w:styleId="CommentText">
    <w:name w:val="annotation text"/>
    <w:basedOn w:val="Normal"/>
    <w:link w:val="CommentTextChar"/>
    <w:uiPriority w:val="99"/>
    <w:unhideWhenUsed/>
    <w:rsid w:val="00E131F8"/>
    <w:pPr>
      <w:spacing w:line="240" w:lineRule="auto"/>
    </w:pPr>
    <w:rPr>
      <w:sz w:val="20"/>
      <w:szCs w:val="20"/>
    </w:rPr>
  </w:style>
  <w:style w:type="character" w:customStyle="1" w:styleId="CommentTextChar">
    <w:name w:val="Comment Text Char"/>
    <w:basedOn w:val="DefaultParagraphFont"/>
    <w:link w:val="CommentText"/>
    <w:uiPriority w:val="99"/>
    <w:rsid w:val="00E131F8"/>
    <w:rPr>
      <w:sz w:val="20"/>
      <w:szCs w:val="20"/>
    </w:rPr>
  </w:style>
  <w:style w:type="paragraph" w:styleId="CommentSubject">
    <w:name w:val="annotation subject"/>
    <w:basedOn w:val="CommentText"/>
    <w:next w:val="CommentText"/>
    <w:link w:val="CommentSubjectChar"/>
    <w:uiPriority w:val="99"/>
    <w:semiHidden/>
    <w:unhideWhenUsed/>
    <w:rsid w:val="00E131F8"/>
    <w:rPr>
      <w:b/>
      <w:bCs/>
    </w:rPr>
  </w:style>
  <w:style w:type="character" w:customStyle="1" w:styleId="CommentSubjectChar">
    <w:name w:val="Comment Subject Char"/>
    <w:basedOn w:val="CommentTextChar"/>
    <w:link w:val="CommentSubject"/>
    <w:uiPriority w:val="99"/>
    <w:semiHidden/>
    <w:rsid w:val="00E131F8"/>
    <w:rPr>
      <w:b/>
      <w:bCs/>
      <w:sz w:val="20"/>
      <w:szCs w:val="20"/>
    </w:rPr>
  </w:style>
  <w:style w:type="paragraph" w:styleId="BalloonText">
    <w:name w:val="Balloon Text"/>
    <w:basedOn w:val="Normal"/>
    <w:link w:val="BalloonTextChar"/>
    <w:uiPriority w:val="99"/>
    <w:semiHidden/>
    <w:unhideWhenUsed/>
    <w:rsid w:val="00E13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1F8"/>
    <w:rPr>
      <w:rFonts w:ascii="Segoe UI" w:hAnsi="Segoe UI" w:cs="Segoe UI"/>
      <w:sz w:val="18"/>
      <w:szCs w:val="18"/>
    </w:rPr>
  </w:style>
  <w:style w:type="paragraph" w:styleId="Revision">
    <w:name w:val="Revision"/>
    <w:hidden/>
    <w:uiPriority w:val="99"/>
    <w:semiHidden/>
    <w:rsid w:val="003B3A2D"/>
    <w:pPr>
      <w:spacing w:after="0" w:line="240" w:lineRule="auto"/>
    </w:pPr>
  </w:style>
  <w:style w:type="table" w:styleId="TableGrid">
    <w:name w:val="Table Grid"/>
    <w:basedOn w:val="TableNormal"/>
    <w:uiPriority w:val="39"/>
    <w:rsid w:val="00B04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203F4"/>
    <w:rPr>
      <w:color w:val="0000FF"/>
      <w:u w:val="single"/>
    </w:rPr>
  </w:style>
  <w:style w:type="character" w:customStyle="1" w:styleId="UnresolvedMention1">
    <w:name w:val="Unresolved Mention1"/>
    <w:basedOn w:val="DefaultParagraphFont"/>
    <w:uiPriority w:val="99"/>
    <w:semiHidden/>
    <w:unhideWhenUsed/>
    <w:rsid w:val="00086C38"/>
    <w:rPr>
      <w:color w:val="605E5C"/>
      <w:shd w:val="clear" w:color="auto" w:fill="E1DFDD"/>
    </w:rPr>
  </w:style>
  <w:style w:type="paragraph" w:styleId="Header">
    <w:name w:val="header"/>
    <w:aliases w:val="test,header protocols,LandscapeHeader"/>
    <w:basedOn w:val="Normal"/>
    <w:link w:val="HeaderChar"/>
    <w:uiPriority w:val="99"/>
    <w:unhideWhenUsed/>
    <w:rsid w:val="003E290B"/>
    <w:pPr>
      <w:tabs>
        <w:tab w:val="center" w:pos="4680"/>
        <w:tab w:val="right" w:pos="9360"/>
      </w:tabs>
      <w:spacing w:after="0" w:line="240" w:lineRule="auto"/>
    </w:pPr>
  </w:style>
  <w:style w:type="character" w:customStyle="1" w:styleId="HeaderChar">
    <w:name w:val="Header Char"/>
    <w:aliases w:val="test Char,header protocols Char,LandscapeHeader Char"/>
    <w:basedOn w:val="DefaultParagraphFont"/>
    <w:link w:val="Header"/>
    <w:uiPriority w:val="99"/>
    <w:rsid w:val="003E290B"/>
  </w:style>
  <w:style w:type="paragraph" w:styleId="Footer">
    <w:name w:val="footer"/>
    <w:basedOn w:val="Normal"/>
    <w:link w:val="FooterChar"/>
    <w:uiPriority w:val="99"/>
    <w:unhideWhenUsed/>
    <w:rsid w:val="003E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90B"/>
  </w:style>
  <w:style w:type="paragraph" w:styleId="Caption">
    <w:name w:val="caption"/>
    <w:next w:val="Normal"/>
    <w:qFormat/>
    <w:rsid w:val="00EF74B9"/>
    <w:pPr>
      <w:tabs>
        <w:tab w:val="left" w:pos="1728"/>
      </w:tabs>
      <w:spacing w:after="240" w:line="240" w:lineRule="auto"/>
      <w:ind w:left="1728" w:hanging="1728"/>
    </w:pPr>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F96194"/>
  </w:style>
  <w:style w:type="paragraph" w:customStyle="1" w:styleId="References">
    <w:name w:val="References"/>
    <w:basedOn w:val="Normal"/>
    <w:uiPriority w:val="99"/>
    <w:rsid w:val="00817476"/>
    <w:pPr>
      <w:spacing w:after="240" w:line="280" w:lineRule="atLeast"/>
      <w:ind w:left="720" w:hanging="720"/>
    </w:pPr>
    <w:rPr>
      <w:rFonts w:ascii="Times New Roman" w:eastAsia="Times New Roman" w:hAnsi="Times New Roman" w:cs="Times New Roman"/>
      <w:sz w:val="24"/>
      <w:szCs w:val="24"/>
    </w:rPr>
  </w:style>
  <w:style w:type="table" w:customStyle="1" w:styleId="TableGrid1">
    <w:name w:val="Table Grid1"/>
    <w:basedOn w:val="TableNormal"/>
    <w:next w:val="TableGrid"/>
    <w:rsid w:val="000A31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63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5B5"/>
    <w:rPr>
      <w:b/>
      <w:bCs/>
    </w:rPr>
  </w:style>
  <w:style w:type="paragraph" w:customStyle="1" w:styleId="EndNoteBibliographyTitle">
    <w:name w:val="EndNote Bibliography Title"/>
    <w:basedOn w:val="Normal"/>
    <w:link w:val="EndNoteBibliographyTitleChar"/>
    <w:rsid w:val="00702B8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02B82"/>
    <w:rPr>
      <w:rFonts w:ascii="Calibri" w:hAnsi="Calibri" w:cs="Calibri"/>
      <w:noProof/>
    </w:rPr>
  </w:style>
  <w:style w:type="paragraph" w:customStyle="1" w:styleId="EndNoteBibliography">
    <w:name w:val="EndNote Bibliography"/>
    <w:basedOn w:val="Normal"/>
    <w:link w:val="EndNoteBibliographyChar"/>
    <w:rsid w:val="00702B8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02B82"/>
    <w:rPr>
      <w:rFonts w:ascii="Calibri" w:hAnsi="Calibri" w:cs="Calibri"/>
      <w:noProof/>
    </w:rPr>
  </w:style>
  <w:style w:type="paragraph" w:customStyle="1" w:styleId="Default">
    <w:name w:val="Default"/>
    <w:rsid w:val="00E42B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041092"/>
  </w:style>
  <w:style w:type="paragraph" w:styleId="FootnoteText">
    <w:name w:val="footnote text"/>
    <w:basedOn w:val="Normal"/>
    <w:link w:val="FootnoteTextChar"/>
    <w:uiPriority w:val="99"/>
    <w:unhideWhenUsed/>
    <w:rsid w:val="00C85409"/>
    <w:pPr>
      <w:spacing w:after="0" w:line="240" w:lineRule="auto"/>
    </w:pPr>
    <w:rPr>
      <w:sz w:val="20"/>
      <w:szCs w:val="20"/>
    </w:rPr>
  </w:style>
  <w:style w:type="character" w:customStyle="1" w:styleId="FootnoteTextChar">
    <w:name w:val="Footnote Text Char"/>
    <w:basedOn w:val="DefaultParagraphFont"/>
    <w:link w:val="FootnoteText"/>
    <w:uiPriority w:val="99"/>
    <w:rsid w:val="00C85409"/>
    <w:rPr>
      <w:sz w:val="20"/>
      <w:szCs w:val="20"/>
    </w:rPr>
  </w:style>
  <w:style w:type="character" w:styleId="FootnoteReference">
    <w:name w:val="footnote reference"/>
    <w:basedOn w:val="DefaultParagraphFont"/>
    <w:uiPriority w:val="99"/>
    <w:semiHidden/>
    <w:unhideWhenUsed/>
    <w:rsid w:val="00C85409"/>
    <w:rPr>
      <w:vertAlign w:val="superscript"/>
    </w:rPr>
  </w:style>
  <w:style w:type="paragraph" w:styleId="EndnoteText">
    <w:name w:val="endnote text"/>
    <w:basedOn w:val="Normal"/>
    <w:link w:val="EndnoteTextChar"/>
    <w:uiPriority w:val="99"/>
    <w:semiHidden/>
    <w:unhideWhenUsed/>
    <w:rsid w:val="007824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2471"/>
    <w:rPr>
      <w:sz w:val="20"/>
      <w:szCs w:val="20"/>
    </w:rPr>
  </w:style>
  <w:style w:type="character" w:styleId="EndnoteReference">
    <w:name w:val="endnote reference"/>
    <w:basedOn w:val="DefaultParagraphFont"/>
    <w:uiPriority w:val="99"/>
    <w:semiHidden/>
    <w:unhideWhenUsed/>
    <w:rsid w:val="00782471"/>
    <w:rPr>
      <w:vertAlign w:val="superscript"/>
    </w:rPr>
  </w:style>
  <w:style w:type="character" w:styleId="FollowedHyperlink">
    <w:name w:val="FollowedHyperlink"/>
    <w:basedOn w:val="DefaultParagraphFont"/>
    <w:uiPriority w:val="99"/>
    <w:semiHidden/>
    <w:unhideWhenUsed/>
    <w:rsid w:val="002819CE"/>
    <w:rPr>
      <w:color w:val="954F72" w:themeColor="followedHyperlink"/>
      <w:u w:val="single"/>
    </w:rPr>
  </w:style>
  <w:style w:type="character" w:customStyle="1" w:styleId="Heading1Char">
    <w:name w:val="Heading 1 Char"/>
    <w:basedOn w:val="DefaultParagraphFont"/>
    <w:link w:val="Heading1"/>
    <w:uiPriority w:val="9"/>
    <w:rsid w:val="00B70796"/>
    <w:rPr>
      <w:rFonts w:ascii="Times New Roman" w:eastAsiaTheme="majorEastAsia" w:hAnsi="Times New Roman" w:cs="Times New Roman"/>
      <w:b/>
      <w:sz w:val="24"/>
      <w:szCs w:val="24"/>
      <w:lang w:val="fr-FR"/>
    </w:rPr>
  </w:style>
  <w:style w:type="character" w:customStyle="1" w:styleId="label">
    <w:name w:val="label"/>
    <w:basedOn w:val="DefaultParagraphFont"/>
    <w:rsid w:val="00E61BD5"/>
  </w:style>
  <w:style w:type="character" w:customStyle="1" w:styleId="rynqvb">
    <w:name w:val="rynqvb"/>
    <w:basedOn w:val="DefaultParagraphFont"/>
    <w:rsid w:val="00005391"/>
  </w:style>
  <w:style w:type="paragraph" w:styleId="NoSpacing">
    <w:name w:val="No Spacing"/>
    <w:uiPriority w:val="1"/>
    <w:qFormat/>
    <w:rsid w:val="00C533D7"/>
    <w:pPr>
      <w:spacing w:after="0" w:line="240" w:lineRule="auto"/>
    </w:pPr>
    <w:rPr>
      <w:rFonts w:ascii="Times New Roman" w:eastAsiaTheme="minorHAnsi" w:hAnsi="Times New Roman"/>
      <w:kern w:val="2"/>
      <w:sz w:val="24"/>
      <w:lang w:val="en-BZ"/>
      <w14:ligatures w14:val="standardContextual"/>
    </w:rPr>
  </w:style>
  <w:style w:type="character" w:styleId="Emphasis">
    <w:name w:val="Emphasis"/>
    <w:basedOn w:val="DefaultParagraphFont"/>
    <w:uiPriority w:val="20"/>
    <w:qFormat/>
    <w:rsid w:val="000E1A85"/>
    <w:rPr>
      <w:i/>
      <w:iCs/>
    </w:rPr>
  </w:style>
  <w:style w:type="character" w:customStyle="1" w:styleId="Heading3Char">
    <w:name w:val="Heading 3 Char"/>
    <w:basedOn w:val="DefaultParagraphFont"/>
    <w:link w:val="Heading3"/>
    <w:uiPriority w:val="9"/>
    <w:rsid w:val="00052185"/>
    <w:rPr>
      <w:rFonts w:asciiTheme="majorHAnsi" w:eastAsiaTheme="majorEastAsia" w:hAnsiTheme="majorHAnsi" w:cstheme="majorBidi"/>
      <w:color w:val="1F4D78" w:themeColor="accent1" w:themeShade="7F"/>
      <w:kern w:val="2"/>
      <w:sz w:val="24"/>
      <w:szCs w:val="24"/>
      <w:lang w:val="en-BZ"/>
      <w14:ligatures w14:val="standardContextual"/>
    </w:rPr>
  </w:style>
  <w:style w:type="table" w:styleId="GridTable4-Accent6">
    <w:name w:val="Grid Table 4 Accent 6"/>
    <w:basedOn w:val="TableNormal"/>
    <w:uiPriority w:val="49"/>
    <w:rsid w:val="00D05264"/>
    <w:pPr>
      <w:spacing w:after="0" w:line="240" w:lineRule="auto"/>
    </w:pPr>
    <w:rPr>
      <w:rFonts w:eastAsiaTheme="minorHAnsi"/>
      <w:kern w:val="2"/>
      <w:lang w:val="en-BZ"/>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1">
    <w:name w:val="Plain Table 1"/>
    <w:basedOn w:val="TableNormal"/>
    <w:uiPriority w:val="41"/>
    <w:rsid w:val="00372828"/>
    <w:pPr>
      <w:spacing w:after="0" w:line="240" w:lineRule="auto"/>
    </w:pPr>
    <w:rPr>
      <w:rFonts w:eastAsiaTheme="minorHAnsi"/>
      <w:kern w:val="2"/>
      <w:lang w:val="en-BZ"/>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rl">
    <w:name w:val="url"/>
    <w:basedOn w:val="DefaultParagraphFont"/>
    <w:rsid w:val="002A1D58"/>
  </w:style>
  <w:style w:type="character" w:customStyle="1" w:styleId="UnresolvedMention2">
    <w:name w:val="Unresolved Mention2"/>
    <w:basedOn w:val="DefaultParagraphFont"/>
    <w:uiPriority w:val="99"/>
    <w:semiHidden/>
    <w:unhideWhenUsed/>
    <w:rsid w:val="002A1D58"/>
    <w:rPr>
      <w:color w:val="605E5C"/>
      <w:shd w:val="clear" w:color="auto" w:fill="E1DFDD"/>
    </w:rPr>
  </w:style>
  <w:style w:type="character" w:customStyle="1" w:styleId="UnresolvedMention3">
    <w:name w:val="Unresolved Mention3"/>
    <w:basedOn w:val="DefaultParagraphFont"/>
    <w:uiPriority w:val="99"/>
    <w:semiHidden/>
    <w:unhideWhenUsed/>
    <w:rsid w:val="00B6430B"/>
    <w:rPr>
      <w:color w:val="605E5C"/>
      <w:shd w:val="clear" w:color="auto" w:fill="E1DFDD"/>
    </w:rPr>
  </w:style>
  <w:style w:type="table" w:styleId="GridTable4-Accent3">
    <w:name w:val="Grid Table 4 Accent 3"/>
    <w:basedOn w:val="TableNormal"/>
    <w:uiPriority w:val="49"/>
    <w:rsid w:val="00786DC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786D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200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200FA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150">
      <w:bodyDiv w:val="1"/>
      <w:marLeft w:val="0"/>
      <w:marRight w:val="0"/>
      <w:marTop w:val="0"/>
      <w:marBottom w:val="0"/>
      <w:divBdr>
        <w:top w:val="none" w:sz="0" w:space="0" w:color="auto"/>
        <w:left w:val="none" w:sz="0" w:space="0" w:color="auto"/>
        <w:bottom w:val="none" w:sz="0" w:space="0" w:color="auto"/>
        <w:right w:val="none" w:sz="0" w:space="0" w:color="auto"/>
      </w:divBdr>
    </w:div>
    <w:div w:id="311756304">
      <w:bodyDiv w:val="1"/>
      <w:marLeft w:val="0"/>
      <w:marRight w:val="0"/>
      <w:marTop w:val="0"/>
      <w:marBottom w:val="0"/>
      <w:divBdr>
        <w:top w:val="none" w:sz="0" w:space="0" w:color="auto"/>
        <w:left w:val="none" w:sz="0" w:space="0" w:color="auto"/>
        <w:bottom w:val="none" w:sz="0" w:space="0" w:color="auto"/>
        <w:right w:val="none" w:sz="0" w:space="0" w:color="auto"/>
      </w:divBdr>
    </w:div>
    <w:div w:id="382681194">
      <w:bodyDiv w:val="1"/>
      <w:marLeft w:val="0"/>
      <w:marRight w:val="0"/>
      <w:marTop w:val="0"/>
      <w:marBottom w:val="0"/>
      <w:divBdr>
        <w:top w:val="none" w:sz="0" w:space="0" w:color="auto"/>
        <w:left w:val="none" w:sz="0" w:space="0" w:color="auto"/>
        <w:bottom w:val="none" w:sz="0" w:space="0" w:color="auto"/>
        <w:right w:val="none" w:sz="0" w:space="0" w:color="auto"/>
      </w:divBdr>
      <w:divsChild>
        <w:div w:id="939799596">
          <w:marLeft w:val="-720"/>
          <w:marRight w:val="0"/>
          <w:marTop w:val="0"/>
          <w:marBottom w:val="0"/>
          <w:divBdr>
            <w:top w:val="none" w:sz="0" w:space="0" w:color="auto"/>
            <w:left w:val="none" w:sz="0" w:space="0" w:color="auto"/>
            <w:bottom w:val="none" w:sz="0" w:space="0" w:color="auto"/>
            <w:right w:val="none" w:sz="0" w:space="0" w:color="auto"/>
          </w:divBdr>
        </w:div>
      </w:divsChild>
    </w:div>
    <w:div w:id="459111452">
      <w:bodyDiv w:val="1"/>
      <w:marLeft w:val="0"/>
      <w:marRight w:val="0"/>
      <w:marTop w:val="0"/>
      <w:marBottom w:val="0"/>
      <w:divBdr>
        <w:top w:val="none" w:sz="0" w:space="0" w:color="auto"/>
        <w:left w:val="none" w:sz="0" w:space="0" w:color="auto"/>
        <w:bottom w:val="none" w:sz="0" w:space="0" w:color="auto"/>
        <w:right w:val="none" w:sz="0" w:space="0" w:color="auto"/>
      </w:divBdr>
    </w:div>
    <w:div w:id="812136885">
      <w:bodyDiv w:val="1"/>
      <w:marLeft w:val="0"/>
      <w:marRight w:val="0"/>
      <w:marTop w:val="0"/>
      <w:marBottom w:val="0"/>
      <w:divBdr>
        <w:top w:val="none" w:sz="0" w:space="0" w:color="auto"/>
        <w:left w:val="none" w:sz="0" w:space="0" w:color="auto"/>
        <w:bottom w:val="none" w:sz="0" w:space="0" w:color="auto"/>
        <w:right w:val="none" w:sz="0" w:space="0" w:color="auto"/>
      </w:divBdr>
    </w:div>
    <w:div w:id="888109555">
      <w:bodyDiv w:val="1"/>
      <w:marLeft w:val="0"/>
      <w:marRight w:val="0"/>
      <w:marTop w:val="0"/>
      <w:marBottom w:val="0"/>
      <w:divBdr>
        <w:top w:val="none" w:sz="0" w:space="0" w:color="auto"/>
        <w:left w:val="none" w:sz="0" w:space="0" w:color="auto"/>
        <w:bottom w:val="none" w:sz="0" w:space="0" w:color="auto"/>
        <w:right w:val="none" w:sz="0" w:space="0" w:color="auto"/>
      </w:divBdr>
    </w:div>
    <w:div w:id="919294276">
      <w:bodyDiv w:val="1"/>
      <w:marLeft w:val="0"/>
      <w:marRight w:val="0"/>
      <w:marTop w:val="0"/>
      <w:marBottom w:val="0"/>
      <w:divBdr>
        <w:top w:val="none" w:sz="0" w:space="0" w:color="auto"/>
        <w:left w:val="none" w:sz="0" w:space="0" w:color="auto"/>
        <w:bottom w:val="none" w:sz="0" w:space="0" w:color="auto"/>
        <w:right w:val="none" w:sz="0" w:space="0" w:color="auto"/>
      </w:divBdr>
      <w:divsChild>
        <w:div w:id="1174612523">
          <w:marLeft w:val="-720"/>
          <w:marRight w:val="0"/>
          <w:marTop w:val="0"/>
          <w:marBottom w:val="0"/>
          <w:divBdr>
            <w:top w:val="none" w:sz="0" w:space="0" w:color="auto"/>
            <w:left w:val="none" w:sz="0" w:space="0" w:color="auto"/>
            <w:bottom w:val="none" w:sz="0" w:space="0" w:color="auto"/>
            <w:right w:val="none" w:sz="0" w:space="0" w:color="auto"/>
          </w:divBdr>
        </w:div>
      </w:divsChild>
    </w:div>
    <w:div w:id="1042902820">
      <w:bodyDiv w:val="1"/>
      <w:marLeft w:val="0"/>
      <w:marRight w:val="0"/>
      <w:marTop w:val="0"/>
      <w:marBottom w:val="0"/>
      <w:divBdr>
        <w:top w:val="none" w:sz="0" w:space="0" w:color="auto"/>
        <w:left w:val="none" w:sz="0" w:space="0" w:color="auto"/>
        <w:bottom w:val="none" w:sz="0" w:space="0" w:color="auto"/>
        <w:right w:val="none" w:sz="0" w:space="0" w:color="auto"/>
      </w:divBdr>
    </w:div>
    <w:div w:id="1206018974">
      <w:bodyDiv w:val="1"/>
      <w:marLeft w:val="0"/>
      <w:marRight w:val="0"/>
      <w:marTop w:val="0"/>
      <w:marBottom w:val="0"/>
      <w:divBdr>
        <w:top w:val="none" w:sz="0" w:space="0" w:color="auto"/>
        <w:left w:val="none" w:sz="0" w:space="0" w:color="auto"/>
        <w:bottom w:val="none" w:sz="0" w:space="0" w:color="auto"/>
        <w:right w:val="none" w:sz="0" w:space="0" w:color="auto"/>
      </w:divBdr>
      <w:divsChild>
        <w:div w:id="1469586376">
          <w:marLeft w:val="-720"/>
          <w:marRight w:val="0"/>
          <w:marTop w:val="0"/>
          <w:marBottom w:val="0"/>
          <w:divBdr>
            <w:top w:val="none" w:sz="0" w:space="0" w:color="auto"/>
            <w:left w:val="none" w:sz="0" w:space="0" w:color="auto"/>
            <w:bottom w:val="none" w:sz="0" w:space="0" w:color="auto"/>
            <w:right w:val="none" w:sz="0" w:space="0" w:color="auto"/>
          </w:divBdr>
        </w:div>
      </w:divsChild>
    </w:div>
    <w:div w:id="1299649274">
      <w:bodyDiv w:val="1"/>
      <w:marLeft w:val="0"/>
      <w:marRight w:val="0"/>
      <w:marTop w:val="0"/>
      <w:marBottom w:val="0"/>
      <w:divBdr>
        <w:top w:val="none" w:sz="0" w:space="0" w:color="auto"/>
        <w:left w:val="none" w:sz="0" w:space="0" w:color="auto"/>
        <w:bottom w:val="none" w:sz="0" w:space="0" w:color="auto"/>
        <w:right w:val="none" w:sz="0" w:space="0" w:color="auto"/>
      </w:divBdr>
    </w:div>
    <w:div w:id="20279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hyperlink" Target="https://www.moh.gov.jm/standards-and-regulation-division/pharmacovigilance/" TargetMode="External"/><Relationship Id="rId39" Type="http://schemas.openxmlformats.org/officeDocument/2006/relationships/hyperlink" Target="https://doi.org/10.1016/s1473-3099(22)00320-6" TargetMode="External"/><Relationship Id="rId3" Type="http://schemas.openxmlformats.org/officeDocument/2006/relationships/customXml" Target="../customXml/item3.xml"/><Relationship Id="rId21" Type="http://schemas.openxmlformats.org/officeDocument/2006/relationships/hyperlink" Target="https://www.carpha.org/Portals/0/Documents/COVID%20Situation%20Reports/Situation%20Report%20259%20-%20December%2015%202022.pdf" TargetMode="External"/><Relationship Id="rId34" Type="http://schemas.openxmlformats.org/officeDocument/2006/relationships/hyperlink" Target="https://doi.org/10.1177/20420986221118972" TargetMode="External"/><Relationship Id="rId42" Type="http://schemas.openxmlformats.org/officeDocument/2006/relationships/hyperlink" Target="https://www.who.int/teams/regulation-prequalification/regulation-and-safety/pharmacovigilanc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s://www.mspp.gouv.ht/dpmmt/views/front/pharmacovigilance.php" TargetMode="External"/><Relationship Id="rId33" Type="http://schemas.openxmlformats.org/officeDocument/2006/relationships/hyperlink" Target="https://gisbarbados.gov.bb/blog/drug-service-survey-on-vaccine-side-effects/" TargetMode="External"/><Relationship Id="rId38" Type="http://schemas.openxmlformats.org/officeDocument/2006/relationships/hyperlink" Target="https://doi.org/10.1007/s40495-023-00320-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ojs.wpro.who.int/ojs/index.php/wpsar/article/view/1046" TargetMode="External"/><Relationship Id="rId29" Type="http://schemas.openxmlformats.org/officeDocument/2006/relationships/hyperlink" Target="https://www.paho.org/sites/default/files/terms_of_reference_pharmacovigilance_officer_surveillance_of_adverse_drug_reactions_due_to_covid-19_vaccines_0.pdf" TargetMode="External"/><Relationship Id="rId41" Type="http://schemas.openxmlformats.org/officeDocument/2006/relationships/hyperlink" Target="https://apps.who.int/iris/handle/10665/3384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jis.gov.jm/few-reports-of-side-effects/" TargetMode="External"/><Relationship Id="rId32" Type="http://schemas.openxmlformats.org/officeDocument/2006/relationships/hyperlink" Target="https://covid-19pharmacovigilance.paho.org/img/recursos/60783d0f4550988aa8bd763c3.pdf" TargetMode="External"/><Relationship Id="rId37" Type="http://schemas.openxmlformats.org/officeDocument/2006/relationships/hyperlink" Target="https://fb.watch/mO54-meBHb/" TargetMode="External"/><Relationship Id="rId40" Type="http://schemas.openxmlformats.org/officeDocument/2006/relationships/hyperlink" Target="https://www.who.int/docs/default-source/covid-19-vaccines-safety-surveillance-manual/covid19vaccines_manual_aefi_20210104.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app=desktop&amp;v=gmKZGc7J8LY" TargetMode="External"/><Relationship Id="rId28" Type="http://schemas.openxmlformats.org/officeDocument/2006/relationships/hyperlink" Target="https://doi.org/10.1007/s40264-022-01253-5" TargetMode="External"/><Relationship Id="rId36" Type="http://schemas.openxmlformats.org/officeDocument/2006/relationships/hyperlink" Target="https://who-umc.org/about-the-who-programme-for-international-drug-monitoring/" TargetMode="Externa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yperlink" Target="https://im-data-paho.github.io/cov19-country-profiles/en/report_HTI.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aho.org/en/documents/vigicarib-news-december-2022" TargetMode="External"/><Relationship Id="rId27" Type="http://schemas.openxmlformats.org/officeDocument/2006/relationships/hyperlink" Target="https://doi.org/10.1007/s40264-023-01279-3" TargetMode="External"/><Relationship Id="rId30" Type="http://schemas.openxmlformats.org/officeDocument/2006/relationships/hyperlink" Target="https://ais.paho.org/imm/IM_DosisAdmin-Vacunacion.asp" TargetMode="External"/><Relationship Id="rId35" Type="http://schemas.openxmlformats.org/officeDocument/2006/relationships/hyperlink" Target="https://health.gov.vc/health/images/stories/PDF/SRO-Public_Health_Emergency_Authorisation_of_Covid-19_Vaccine.pdf"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oi.org/10.21423/JRS.REGSCI.12126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4d780f1e91364e0/M&#225;ster%20FV%20y%20FE/TFM%202023/AEFI%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f4d780f1e91364e0/M&#225;ster%20FV%20y%20FE/TFM%202023/TFM%20AEFIs%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f4d780f1e91364e0/M&#225;ster%20FV%20y%20FE/TFM%202023/AEFI%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'[AEFI 2022.xlsx]Sheet2'!$C$2</c:f>
              <c:strCache>
                <c:ptCount val="1"/>
                <c:pt idx="0">
                  <c:v>Serious</c:v>
                </c:pt>
              </c:strCache>
            </c:strRef>
          </c:tx>
          <c:spPr>
            <a:ln w="28575" cap="rnd">
              <a:solidFill>
                <a:schemeClr val="accent1"/>
              </a:solidFill>
              <a:round/>
            </a:ln>
            <a:effectLst/>
          </c:spPr>
          <c:marker>
            <c:symbol val="none"/>
          </c:marker>
          <c:cat>
            <c:numRef>
              <c:f>'[AEFI 2022.xlsx]Sheet2'!$A$3:$A$26</c:f>
              <c:numCache>
                <c:formatCode>mmm\-yy</c:formatCode>
                <c:ptCount val="24"/>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numCache>
            </c:numRef>
          </c:cat>
          <c:val>
            <c:numRef>
              <c:f>'[AEFI 2022.xlsx]Sheet2'!$C$3:$C$26</c:f>
              <c:numCache>
                <c:formatCode>General</c:formatCode>
                <c:ptCount val="24"/>
                <c:pt idx="0">
                  <c:v>0</c:v>
                </c:pt>
                <c:pt idx="1">
                  <c:v>0</c:v>
                </c:pt>
                <c:pt idx="2">
                  <c:v>6</c:v>
                </c:pt>
                <c:pt idx="3">
                  <c:v>14</c:v>
                </c:pt>
                <c:pt idx="4">
                  <c:v>30</c:v>
                </c:pt>
                <c:pt idx="5">
                  <c:v>20</c:v>
                </c:pt>
                <c:pt idx="6">
                  <c:v>21</c:v>
                </c:pt>
                <c:pt idx="7">
                  <c:v>6</c:v>
                </c:pt>
                <c:pt idx="8">
                  <c:v>15</c:v>
                </c:pt>
                <c:pt idx="9">
                  <c:v>5</c:v>
                </c:pt>
                <c:pt idx="10">
                  <c:v>18</c:v>
                </c:pt>
                <c:pt idx="11">
                  <c:v>37</c:v>
                </c:pt>
                <c:pt idx="12">
                  <c:v>18</c:v>
                </c:pt>
                <c:pt idx="13">
                  <c:v>35</c:v>
                </c:pt>
                <c:pt idx="14">
                  <c:v>21</c:v>
                </c:pt>
                <c:pt idx="15">
                  <c:v>9</c:v>
                </c:pt>
                <c:pt idx="16">
                  <c:v>9</c:v>
                </c:pt>
                <c:pt idx="17">
                  <c:v>1</c:v>
                </c:pt>
                <c:pt idx="18">
                  <c:v>3</c:v>
                </c:pt>
                <c:pt idx="19">
                  <c:v>19</c:v>
                </c:pt>
                <c:pt idx="20">
                  <c:v>5</c:v>
                </c:pt>
                <c:pt idx="21">
                  <c:v>0</c:v>
                </c:pt>
                <c:pt idx="22">
                  <c:v>7</c:v>
                </c:pt>
                <c:pt idx="23">
                  <c:v>4</c:v>
                </c:pt>
              </c:numCache>
            </c:numRef>
          </c:val>
          <c:smooth val="0"/>
          <c:extLst>
            <c:ext xmlns:c16="http://schemas.microsoft.com/office/drawing/2014/chart" uri="{C3380CC4-5D6E-409C-BE32-E72D297353CC}">
              <c16:uniqueId val="{00000000-21CF-4271-BE35-5EE329307F0D}"/>
            </c:ext>
          </c:extLst>
        </c:ser>
        <c:ser>
          <c:idx val="1"/>
          <c:order val="1"/>
          <c:tx>
            <c:strRef>
              <c:f>'[AEFI 2022.xlsx]Sheet2'!$D$2</c:f>
              <c:strCache>
                <c:ptCount val="1"/>
                <c:pt idx="0">
                  <c:v>Not serious</c:v>
                </c:pt>
              </c:strCache>
            </c:strRef>
          </c:tx>
          <c:spPr>
            <a:ln w="28575" cap="rnd">
              <a:solidFill>
                <a:schemeClr val="accent3"/>
              </a:solidFill>
              <a:round/>
            </a:ln>
            <a:effectLst/>
          </c:spPr>
          <c:marker>
            <c:symbol val="none"/>
          </c:marker>
          <c:cat>
            <c:numRef>
              <c:f>'[AEFI 2022.xlsx]Sheet2'!$A$3:$A$26</c:f>
              <c:numCache>
                <c:formatCode>mmm\-yy</c:formatCode>
                <c:ptCount val="24"/>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pt idx="12">
                  <c:v>44562</c:v>
                </c:pt>
                <c:pt idx="13">
                  <c:v>44593</c:v>
                </c:pt>
                <c:pt idx="14">
                  <c:v>44621</c:v>
                </c:pt>
                <c:pt idx="15">
                  <c:v>44652</c:v>
                </c:pt>
                <c:pt idx="16">
                  <c:v>44682</c:v>
                </c:pt>
                <c:pt idx="17">
                  <c:v>44713</c:v>
                </c:pt>
                <c:pt idx="18">
                  <c:v>44743</c:v>
                </c:pt>
                <c:pt idx="19">
                  <c:v>44774</c:v>
                </c:pt>
                <c:pt idx="20">
                  <c:v>44805</c:v>
                </c:pt>
                <c:pt idx="21">
                  <c:v>44835</c:v>
                </c:pt>
                <c:pt idx="22">
                  <c:v>44866</c:v>
                </c:pt>
                <c:pt idx="23">
                  <c:v>44896</c:v>
                </c:pt>
              </c:numCache>
            </c:numRef>
          </c:cat>
          <c:val>
            <c:numRef>
              <c:f>'[AEFI 2022.xlsx]Sheet2'!$D$3:$D$26</c:f>
              <c:numCache>
                <c:formatCode>General</c:formatCode>
                <c:ptCount val="24"/>
                <c:pt idx="0">
                  <c:v>0</c:v>
                </c:pt>
                <c:pt idx="1">
                  <c:v>0</c:v>
                </c:pt>
                <c:pt idx="2">
                  <c:v>60</c:v>
                </c:pt>
                <c:pt idx="3">
                  <c:v>244</c:v>
                </c:pt>
                <c:pt idx="4">
                  <c:v>34</c:v>
                </c:pt>
                <c:pt idx="5">
                  <c:v>62</c:v>
                </c:pt>
                <c:pt idx="6">
                  <c:v>18</c:v>
                </c:pt>
                <c:pt idx="7">
                  <c:v>53</c:v>
                </c:pt>
                <c:pt idx="8">
                  <c:v>90</c:v>
                </c:pt>
                <c:pt idx="9">
                  <c:v>48</c:v>
                </c:pt>
                <c:pt idx="10">
                  <c:v>214</c:v>
                </c:pt>
                <c:pt idx="11">
                  <c:v>149</c:v>
                </c:pt>
                <c:pt idx="12">
                  <c:v>109</c:v>
                </c:pt>
                <c:pt idx="13">
                  <c:v>35</c:v>
                </c:pt>
                <c:pt idx="14">
                  <c:v>91</c:v>
                </c:pt>
                <c:pt idx="15">
                  <c:v>3</c:v>
                </c:pt>
                <c:pt idx="16">
                  <c:v>6</c:v>
                </c:pt>
                <c:pt idx="17">
                  <c:v>3</c:v>
                </c:pt>
                <c:pt idx="18">
                  <c:v>6</c:v>
                </c:pt>
                <c:pt idx="19">
                  <c:v>28</c:v>
                </c:pt>
                <c:pt idx="20">
                  <c:v>16</c:v>
                </c:pt>
                <c:pt idx="21">
                  <c:v>1</c:v>
                </c:pt>
                <c:pt idx="22">
                  <c:v>14</c:v>
                </c:pt>
                <c:pt idx="23">
                  <c:v>17</c:v>
                </c:pt>
              </c:numCache>
            </c:numRef>
          </c:val>
          <c:smooth val="0"/>
          <c:extLst>
            <c:ext xmlns:c16="http://schemas.microsoft.com/office/drawing/2014/chart" uri="{C3380CC4-5D6E-409C-BE32-E72D297353CC}">
              <c16:uniqueId val="{00000001-21CF-4271-BE35-5EE329307F0D}"/>
            </c:ext>
          </c:extLst>
        </c:ser>
        <c:dLbls>
          <c:showLegendKey val="0"/>
          <c:showVal val="0"/>
          <c:showCatName val="0"/>
          <c:showSerName val="0"/>
          <c:showPercent val="0"/>
          <c:showBubbleSize val="0"/>
        </c:dLbls>
        <c:smooth val="0"/>
        <c:axId val="1500877375"/>
        <c:axId val="62509647"/>
      </c:lineChart>
      <c:dateAx>
        <c:axId val="15008773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BZ"/>
                  <a:t>Month</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09647"/>
        <c:crosses val="autoZero"/>
        <c:auto val="1"/>
        <c:lblOffset val="100"/>
        <c:baseTimeUnit val="months"/>
      </c:dateAx>
      <c:valAx>
        <c:axId val="625096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BZ"/>
                  <a:t>Count of COVID-19 Case Reports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87737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'[TFM AEFIs .xlsx]Age Group'!$C$12</c:f>
              <c:strCache>
                <c:ptCount val="1"/>
                <c:pt idx="0">
                  <c:v>Percentage</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'[TFM AEFIs .xlsx]Age Group'!$A$13:$A$18</c:f>
              <c:strCache>
                <c:ptCount val="6"/>
                <c:pt idx="0">
                  <c:v>12 - 17 years</c:v>
                </c:pt>
                <c:pt idx="1">
                  <c:v>18 - 44 years</c:v>
                </c:pt>
                <c:pt idx="2">
                  <c:v>45 - 64 years</c:v>
                </c:pt>
                <c:pt idx="3">
                  <c:v>65 - 74 years</c:v>
                </c:pt>
                <c:pt idx="4">
                  <c:v>≥ 75 years</c:v>
                </c:pt>
                <c:pt idx="5">
                  <c:v>Unknown</c:v>
                </c:pt>
              </c:strCache>
            </c:strRef>
          </c:cat>
          <c:val>
            <c:numRef>
              <c:f>'[TFM AEFIs .xlsx]Age Group'!$C$13:$C$18</c:f>
              <c:numCache>
                <c:formatCode>General</c:formatCode>
                <c:ptCount val="6"/>
                <c:pt idx="0">
                  <c:v>6.3</c:v>
                </c:pt>
                <c:pt idx="1">
                  <c:v>46.6</c:v>
                </c:pt>
                <c:pt idx="2">
                  <c:v>32</c:v>
                </c:pt>
                <c:pt idx="3">
                  <c:v>6.8</c:v>
                </c:pt>
                <c:pt idx="4">
                  <c:v>5.3</c:v>
                </c:pt>
                <c:pt idx="5">
                  <c:v>2.9</c:v>
                </c:pt>
              </c:numCache>
            </c:numRef>
          </c:val>
          <c:extLst>
            <c:ext xmlns:c16="http://schemas.microsoft.com/office/drawing/2014/chart" uri="{C3380CC4-5D6E-409C-BE32-E72D297353CC}">
              <c16:uniqueId val="{00000000-6432-4DEB-BCC1-3FE7BCFA1E4F}"/>
            </c:ext>
          </c:extLst>
        </c:ser>
        <c:dLbls>
          <c:dLblPos val="outEnd"/>
          <c:showLegendKey val="0"/>
          <c:showVal val="1"/>
          <c:showCatName val="0"/>
          <c:showSerName val="0"/>
          <c:showPercent val="0"/>
          <c:showBubbleSize val="0"/>
        </c:dLbls>
        <c:gapWidth val="41"/>
        <c:axId val="608634064"/>
        <c:axId val="236500000"/>
      </c:barChart>
      <c:catAx>
        <c:axId val="6086340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Age</a:t>
                </a:r>
                <a:r>
                  <a:rPr lang="en-US" baseline="0"/>
                  <a:t> group</a:t>
                </a:r>
                <a:endParaRPr lang="en-US"/>
              </a:p>
            </c:rich>
          </c:tx>
          <c:layout/>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236500000"/>
        <c:crosses val="autoZero"/>
        <c:auto val="1"/>
        <c:lblAlgn val="ctr"/>
        <c:lblOffset val="100"/>
        <c:noMultiLvlLbl val="0"/>
      </c:catAx>
      <c:valAx>
        <c:axId val="236500000"/>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a:t>
                </a:r>
              </a:p>
            </c:rich>
          </c:tx>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0863406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31F-4393-9B74-D71D8CE5D1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31F-4393-9B74-D71D8CE5D1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31F-4393-9B74-D71D8CE5D1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31F-4393-9B74-D71D8CE5D1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'[AEFI 2022.xlsx]Sheet1'!$A$2:$A$5</c:f>
              <c:strCache>
                <c:ptCount val="4"/>
                <c:pt idx="0">
                  <c:v>Barbados</c:v>
                </c:pt>
                <c:pt idx="1">
                  <c:v>Haiti</c:v>
                </c:pt>
                <c:pt idx="2">
                  <c:v>Jamaica</c:v>
                </c:pt>
                <c:pt idx="3">
                  <c:v>SVG</c:v>
                </c:pt>
              </c:strCache>
            </c:strRef>
          </c:cat>
          <c:val>
            <c:numRef>
              <c:f>'[AEFI 2022.xlsx]Sheet1'!$B$2:$B$5</c:f>
              <c:numCache>
                <c:formatCode>General</c:formatCode>
                <c:ptCount val="4"/>
                <c:pt idx="0">
                  <c:v>606</c:v>
                </c:pt>
                <c:pt idx="1">
                  <c:v>1</c:v>
                </c:pt>
                <c:pt idx="2">
                  <c:v>952</c:v>
                </c:pt>
                <c:pt idx="3">
                  <c:v>23</c:v>
                </c:pt>
              </c:numCache>
            </c:numRef>
          </c:val>
          <c:extLst>
            <c:ext xmlns:c16="http://schemas.microsoft.com/office/drawing/2014/chart" uri="{C3380CC4-5D6E-409C-BE32-E72D297353CC}">
              <c16:uniqueId val="{00000008-631F-4393-9B74-D71D8CE5D1E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692512BF87384198D9B84B2644A515" ma:contentTypeVersion="4" ma:contentTypeDescription="Create a new document." ma:contentTypeScope="" ma:versionID="e9c13c1bfbe43591c625442342c1e03f">
  <xsd:schema xmlns:xsd="http://www.w3.org/2001/XMLSchema" xmlns:xs="http://www.w3.org/2001/XMLSchema" xmlns:p="http://schemas.microsoft.com/office/2006/metadata/properties" xmlns:ns2="615a7f74-86dd-4fd0-b04d-06e3e6cb77bb" targetNamespace="http://schemas.microsoft.com/office/2006/metadata/properties" ma:root="true" ma:fieldsID="8e621ed420d69a6a289dfe868ca5027b" ns2:_="">
    <xsd:import namespace="615a7f74-86dd-4fd0-b04d-06e3e6cb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a7f74-86dd-4fd0-b04d-06e3e6cb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CB52-0EEF-4EC2-A563-6EDD0BEABFE8}">
  <ds:schemaRefs>
    <ds:schemaRef ds:uri="http://schemas.microsoft.com/sharepoint/v3/contenttype/forms"/>
  </ds:schemaRefs>
</ds:datastoreItem>
</file>

<file path=customXml/itemProps2.xml><?xml version="1.0" encoding="utf-8"?>
<ds:datastoreItem xmlns:ds="http://schemas.openxmlformats.org/officeDocument/2006/customXml" ds:itemID="{F4F249FE-0785-46C4-B209-27C4CFEA79E0}">
  <ds:schemaRefs>
    <ds:schemaRef ds:uri="http://schemas.microsoft.com/office/2006/metadata/properties"/>
    <ds:schemaRef ds:uri="615a7f74-86dd-4fd0-b04d-06e3e6cb77b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1541BB43-AF19-4584-8B62-5253F62B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a7f74-86dd-4fd0-b04d-06e3e6cb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4F351-CD0A-4EDD-9144-8987C190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4829</Words>
  <Characters>27529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Syngenta</Company>
  <LinksUpToDate>false</LinksUpToDate>
  <CharactersWithSpaces>32294</CharactersWithSpaces>
  <SharedDoc>false</SharedDoc>
  <HLinks>
    <vt:vector size="12" baseType="variant">
      <vt:variant>
        <vt:i4>917574</vt:i4>
      </vt:variant>
      <vt:variant>
        <vt:i4>34</vt:i4>
      </vt:variant>
      <vt:variant>
        <vt:i4>0</vt:i4>
      </vt:variant>
      <vt:variant>
        <vt:i4>5</vt:i4>
      </vt:variant>
      <vt:variant>
        <vt:lpwstr>https://comparedatabase.org/</vt:lpwstr>
      </vt:variant>
      <vt:variant>
        <vt:lpwstr/>
      </vt:variant>
      <vt:variant>
        <vt:i4>6815761</vt:i4>
      </vt:variant>
      <vt:variant>
        <vt:i4>0</vt:i4>
      </vt:variant>
      <vt:variant>
        <vt:i4>0</vt:i4>
      </vt:variant>
      <vt:variant>
        <vt:i4>5</vt:i4>
      </vt:variant>
      <vt:variant>
        <vt:lpwstr>mailto:ivan.birukou@syngenta.com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 Planta Cecilia BEBR</dc:creator>
  <cp:keywords/>
  <dc:description/>
  <cp:lastModifiedBy>Prabha Vasudevan</cp:lastModifiedBy>
  <cp:revision>2</cp:revision>
  <cp:lastPrinted>2024-02-28T21:53:00Z</cp:lastPrinted>
  <dcterms:created xsi:type="dcterms:W3CDTF">2024-07-12T14:01:00Z</dcterms:created>
  <dcterms:modified xsi:type="dcterms:W3CDTF">2024-07-12T14:01:00Z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0x0101004E692512BF87384198D9B84B2644A515</vt:lpwstr>
  </property>
</Properties>
</file>